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5F" w:rsidRDefault="00C4415F">
      <w:pPr>
        <w:pStyle w:val="ConsPlusTitlePage"/>
      </w:pPr>
      <w:bookmarkStart w:id="0" w:name="_GoBack"/>
      <w:bookmarkEnd w:id="0"/>
      <w:r>
        <w:br/>
      </w:r>
    </w:p>
    <w:p w:rsidR="00C4415F" w:rsidRDefault="00C4415F">
      <w:pPr>
        <w:pStyle w:val="ConsPlusNormal"/>
        <w:jc w:val="both"/>
        <w:outlineLvl w:val="0"/>
      </w:pPr>
    </w:p>
    <w:p w:rsidR="00C4415F" w:rsidRDefault="00C441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ПОСТАНОВЛЕНИЕ</w:t>
      </w:r>
    </w:p>
    <w:p w:rsidR="00C4415F" w:rsidRDefault="00C4415F">
      <w:pPr>
        <w:pStyle w:val="ConsPlusTitle"/>
        <w:jc w:val="center"/>
      </w:pPr>
      <w:r>
        <w:t>от 15 сентября 2020 г. N 1434</w:t>
      </w:r>
    </w:p>
    <w:p w:rsidR="00C4415F" w:rsidRDefault="00C4415F">
      <w:pPr>
        <w:pStyle w:val="ConsPlusTitle"/>
        <w:jc w:val="center"/>
      </w:pPr>
    </w:p>
    <w:p w:rsidR="00C4415F" w:rsidRDefault="00C4415F">
      <w:pPr>
        <w:pStyle w:val="ConsPlusTitle"/>
        <w:jc w:val="center"/>
      </w:pPr>
      <w:r>
        <w:t>ОБ УТВЕРЖДЕНИИ ПРАВИЛ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СРЕДСТВ,</w:t>
      </w:r>
    </w:p>
    <w:p w:rsidR="00C4415F" w:rsidRDefault="00C4415F">
      <w:pPr>
        <w:pStyle w:val="ConsPlusTitle"/>
        <w:jc w:val="center"/>
      </w:pPr>
      <w:r>
        <w:t>А ТАКЖЕ О ВНЕСЕНИИ ИЗМЕНЕНИЙ В НЕКОТОРЫЕ АКТЫ ПРАВИТЕЛЬСТВА</w:t>
      </w:r>
    </w:p>
    <w:p w:rsidR="00C4415F" w:rsidRDefault="00C4415F">
      <w:pPr>
        <w:pStyle w:val="ConsPlusTitle"/>
        <w:jc w:val="center"/>
      </w:pPr>
      <w:r>
        <w:t>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4415F" w:rsidRDefault="00C441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26.10.2020 </w:t>
            </w:r>
            <w:hyperlink r:id="rId5" w:history="1">
              <w:r>
                <w:rPr>
                  <w:color w:val="0000FF"/>
                </w:rPr>
                <w:t>N 1742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30.01.2021 </w:t>
            </w:r>
            <w:hyperlink r:id="rId6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"О техническом осмотре транспортных средств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4415F" w:rsidRDefault="00C4415F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средств;</w:t>
      </w:r>
    </w:p>
    <w:p w:rsidR="00C4415F" w:rsidRDefault="00C4415F">
      <w:pPr>
        <w:pStyle w:val="ConsPlusNormal"/>
        <w:spacing w:before="220"/>
        <w:ind w:firstLine="540"/>
        <w:jc w:val="both"/>
      </w:pPr>
      <w:hyperlink w:anchor="P1587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hyperlink w:anchor="P36" w:history="1">
        <w:proofErr w:type="gramStart"/>
        <w:r>
          <w:rPr>
            <w:color w:val="0000FF"/>
          </w:rPr>
          <w:t>Правила</w:t>
        </w:r>
      </w:hyperlink>
      <w:r>
        <w:t xml:space="preserve"> проведения технического осмотра транспортных средств, утвержденные настоящим постановлением, вступают в силу со дня вступления в силу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 и действуют в течение 6 лет со дня вступления в силу этого Федерального </w:t>
      </w:r>
      <w:hyperlink r:id="rId8" w:history="1">
        <w:r>
          <w:rPr>
            <w:color w:val="0000FF"/>
          </w:rPr>
          <w:t>закона</w:t>
        </w:r>
        <w:proofErr w:type="gramEnd"/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3. </w:t>
      </w:r>
      <w:hyperlink w:anchor="P1595" w:history="1">
        <w:r>
          <w:rPr>
            <w:color w:val="0000FF"/>
          </w:rPr>
          <w:t>Пункт 2</w:t>
        </w:r>
      </w:hyperlink>
      <w:r>
        <w:t xml:space="preserve"> изменений, утвержденных настоящим постановлением, вступает в силу со дня вступления в силу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техническом осмотре транспортных средств и о внесении изменений в отдельные законодательные акты Российской Федерации" и отдельные законодательные акты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Председатель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М.МИШУСТИН</w:t>
      </w:r>
    </w:p>
    <w:p w:rsidR="00C4415F" w:rsidRDefault="00C4415F">
      <w:pPr>
        <w:pStyle w:val="ConsPlusNormal"/>
        <w:jc w:val="right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Правила </w:t>
            </w:r>
            <w:hyperlink w:anchor="P1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01.03.2027.</w:t>
            </w:r>
          </w:p>
        </w:tc>
      </w:tr>
    </w:tbl>
    <w:p w:rsidR="00C4415F" w:rsidRDefault="00C4415F">
      <w:pPr>
        <w:pStyle w:val="ConsPlusNormal"/>
        <w:spacing w:before="280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lastRenderedPageBreak/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3" w:name="P36"/>
      <w:bookmarkEnd w:id="3"/>
      <w:r>
        <w:t>ПРАВИЛА</w:t>
      </w:r>
    </w:p>
    <w:p w:rsidR="00C4415F" w:rsidRDefault="00C4415F">
      <w:pPr>
        <w:pStyle w:val="ConsPlusTitle"/>
        <w:jc w:val="center"/>
      </w:pPr>
      <w:r>
        <w:t>ПРОВЕДЕНИЯ ТЕХНИЧЕСКОГО ОСМОТРА ТРАНСПОРТНЫХ СРЕДСТВ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I. Общие положения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1. Настоящие Правила устанавливают:</w:t>
      </w:r>
    </w:p>
    <w:p w:rsidR="00C4415F" w:rsidRDefault="00C4415F">
      <w:pPr>
        <w:pStyle w:val="ConsPlusNormal"/>
        <w:spacing w:before="220"/>
        <w:ind w:firstLine="540"/>
        <w:jc w:val="both"/>
      </w:pPr>
      <w:proofErr w:type="gramStart"/>
      <w:r>
        <w:t>а) порядок оказания услуг по проведению технического осмотра транспортных средств, в том числе с использованием передвижной диагностической линии, включая процедуру подтверждения соответствия транспортных средств (в том числе их частей, предметов их дополнительного оборудования) обязательным требованиям безопасности транспортных средств, проводимую в форме технического диагностирования, в целях допуска транспортных средств к участию в дорожном движении на территории Российской Федерации и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международными договорами Российской Федерации, также за ее пределами (далее - технический осмотр);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б) особенности проведения технического осмотра вне пунктов технического осмотра с использованием передвижных диагностических линий;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в) порядок аннулирования диагностической карты.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>ТО ТС органов, осуществляющих оперативно-разыскную деятельность (за исключением специально оборудованных), проводится в порядке, установленном данными Правилами (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17.04.2013 N 348 (ред. от 15.09.2020)).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Настоящие Правила не применяются к отношениям, связанным с проведением технического осмотра транспортных средств городского наземного электрического транспорта, транспортных средств, зарегистрированных военными автомобильными инспекциями или автомобильными службами федеральных органов исполнительной власти, в которых федеральным законом предусмотрена военная служба, транспортных средств органов, осуществляющих оперативно-разыскную деятельность, а также тракторов, самоходных дорожно-строительных и иных машин, которые имеют двигатель внутреннего сгорания объемом более 50 куб</w:t>
      </w:r>
      <w:proofErr w:type="gramEnd"/>
      <w:r>
        <w:t>. сантиметров или электродвигатель максимальной мощностью более 4 киловатт, и прицепов к ним и которые зарегистрированы (или подлежат государственной регистрации) органами, осуществляющими государственный надзор за техническим состоянием самоходных машин и других видов техники, если иное не установлено актами Правительства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Обязательные требования безопасности транспортных средств, предъявляемые при проведении технического осмотра к транспортным средствам отдельных категорий, приведены в </w:t>
      </w:r>
      <w:hyperlink w:anchor="P97" w:history="1">
        <w:r>
          <w:rPr>
            <w:color w:val="0000FF"/>
          </w:rPr>
          <w:t>приложении N 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проведении технического осмотра к транспортным средствам не применяются требования, касающиеся наличия подлежащих проверке элементов конструкции, которые не были предусмотрены на транспортном средстве на момент его выпуска в обращение, при условии отсутствия внесения изменений в его конструкцию в части указанных элементов и содержащих их узлов и агрегатов, за исключением требований, касающихся наличия тахографа или контрольного </w:t>
      </w:r>
      <w:r>
        <w:lastRenderedPageBreak/>
        <w:t>устройства (тахографа) регистрации режима труда</w:t>
      </w:r>
      <w:proofErr w:type="gramEnd"/>
      <w:r>
        <w:t xml:space="preserve"> и отдыха водителей транспортных средств, предусмотренного Европейским </w:t>
      </w:r>
      <w:hyperlink r:id="rId12" w:history="1">
        <w:r>
          <w:rPr>
            <w:color w:val="0000FF"/>
          </w:rPr>
          <w:t>соглашением</w:t>
        </w:r>
      </w:hyperlink>
      <w:r>
        <w:t>, касающимся работы экипажей транспортных средств, производящих международные автомобильные перевозки (ЕСТР).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5. Технический осмотр проводится операторами технического осмотра, аккредитованными в установленном </w:t>
      </w:r>
      <w:hyperlink r:id="rId13" w:history="1">
        <w:r>
          <w:rPr>
            <w:color w:val="0000FF"/>
          </w:rPr>
          <w:t>порядке</w:t>
        </w:r>
      </w:hyperlink>
      <w:r>
        <w:t xml:space="preserve"> для проведения технического осмотра в области аккредитации, соответствующей категориям транспортных средств, предусмотренным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975" w:history="1">
        <w:r>
          <w:rPr>
            <w:color w:val="0000FF"/>
          </w:rPr>
          <w:t>2</w:t>
        </w:r>
      </w:hyperlink>
      <w:r>
        <w:t xml:space="preserve"> (далее - операторы технического осмотра).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6. Проведение технического осмотра осуществляется на платной основе в соответствии с договором о проведении технического осмотра, заключаемым владельцем транспортного средства или его представителем, в том числе представителем, действующим на основании доверенности, оформленной в простой письменной форме (далее - заявитель), и оператором технического осмотра по типовой форме, утвержденной Министерством экономического развития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Размер платы за проведение технического осмотра и размер платы за проведение повторного технического осмотра, который определяется объемом выполненных работ, устанавливаются оператором технического осмотра и не могут превышать предельный размер платы за проведение технического осмотра, установленный высшим исполнительным органом государственной власти субъекта Российской Федерации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>, утвержденной Федеральной антимонопольной службой.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Операторы технического осмотра обеспечивают размещение в информационно-телекоммуникационной сети "Интернет" и в удобном для ознакомления владельцами транспортных средств месте и виде в пунктах технического осмотра и местах работы передвижных диагностических линий (при наличии) текста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"О техническом осмотре транспортных средств и о внесении изменений в отдельные законодательные акты Российской Федерации", настоящих Правил, информации справочного характера (в том числе адресов оператора</w:t>
      </w:r>
      <w:proofErr w:type="gramEnd"/>
      <w:r>
        <w:t xml:space="preserve"> </w:t>
      </w:r>
      <w:proofErr w:type="gramStart"/>
      <w:r>
        <w:t xml:space="preserve">технического осмотра, пунктов технического осмотра и мест работы передвижных диагностических линий (при наличии), номеров телефонов, адреса электронной почты, адреса сайта оператора технического осмотра в информационно-телекоммуникационной сети "Интернет"), актуальной информации о режиме работы пунктов технического осмотра и передвижных диагностических линий (при наличии), информации о размерах платы за проведение технического осмотра и платы за проведение повторного технического осмотра, перечня </w:t>
      </w:r>
      <w:hyperlink r:id="rId16" w:history="1">
        <w:r>
          <w:rPr>
            <w:color w:val="0000FF"/>
          </w:rPr>
          <w:t>документов</w:t>
        </w:r>
      </w:hyperlink>
      <w:r>
        <w:t>, необходимых для</w:t>
      </w:r>
      <w:proofErr w:type="gramEnd"/>
      <w:r>
        <w:t xml:space="preserve"> прохождения технического осмотра, копии аттестата аккредитации оператора технического осмотра и сведений о наличии передвижных диагностических линий (при наличии), типовой </w:t>
      </w:r>
      <w:hyperlink r:id="rId17" w:history="1">
        <w:r>
          <w:rPr>
            <w:color w:val="0000FF"/>
          </w:rPr>
          <w:t>формы</w:t>
        </w:r>
      </w:hyperlink>
      <w:r>
        <w:t xml:space="preserve"> договора о проведении технического осмотра, а также информации о возможности предварительной записи на технический осмотр.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II. Порядок оказания услуг по проведению</w:t>
      </w:r>
    </w:p>
    <w:p w:rsidR="00C4415F" w:rsidRDefault="00C4415F">
      <w:pPr>
        <w:pStyle w:val="ConsPlusTitle"/>
        <w:jc w:val="center"/>
      </w:pPr>
      <w:r>
        <w:t>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bookmarkStart w:id="4" w:name="P60"/>
      <w:bookmarkEnd w:id="4"/>
      <w:r>
        <w:t xml:space="preserve">9. Для проведения технического осмотра заявитель обращается к любому оператору технического осмотра в любой пункт технического осмотра вне зависимости от места государственной регистрации транспортного средства и </w:t>
      </w:r>
      <w:proofErr w:type="gramStart"/>
      <w:r>
        <w:t>представляет транспортное средство</w:t>
      </w:r>
      <w:proofErr w:type="gramEnd"/>
      <w:r>
        <w:t>, а также следующие документы: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10. В </w:t>
      </w:r>
      <w:proofErr w:type="gramStart"/>
      <w:r>
        <w:t>случае</w:t>
      </w:r>
      <w:proofErr w:type="gramEnd"/>
      <w:r>
        <w:t xml:space="preserve"> непредставления заявителем указанных в </w:t>
      </w:r>
      <w:hyperlink w:anchor="P60" w:history="1">
        <w:r>
          <w:rPr>
            <w:color w:val="0000FF"/>
          </w:rPr>
          <w:t>пункте 9</w:t>
        </w:r>
      </w:hyperlink>
      <w:r>
        <w:t xml:space="preserve"> настоящих Правил документов либо в случае отказа от оплаты услуг по проведению технического осмотра оператор </w:t>
      </w:r>
      <w:r>
        <w:lastRenderedPageBreak/>
        <w:t>технического осмотра отказывает заявителю в оказании услуг по проведению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11. Оператор технического осмотра устанавливает тождественность идентификационного номера транспортного средства и (или)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(электронном паспорте транспортного средства).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несоответствии данных транспортного средства, в том числе его идентификационного номера и (или) идентификационных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информацию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При соответствии данных транспортного средства данным документов, идентифицирующих транспортное средство, это транспортное средство допускается к проведению технического диагностирования.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договора.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12. Техническое диагностирование осуществляется техническими экспертами, отвечающими </w:t>
      </w:r>
      <w:hyperlink r:id="rId20" w:history="1">
        <w:r>
          <w:rPr>
            <w:color w:val="0000FF"/>
          </w:rPr>
          <w:t>квалификационным требованиям</w:t>
        </w:r>
      </w:hyperlink>
      <w:r>
        <w:t xml:space="preserve">, установленным Министерством промышленности и торговли Российской Федерации,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</w:t>
      </w:r>
      <w:proofErr w:type="gramStart"/>
      <w:r>
        <w:t>сведения</w:t>
      </w:r>
      <w:proofErr w:type="gramEnd"/>
      <w:r>
        <w:t xml:space="preserve"> о которых внесены в реестр операторов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Техническое диагностирование проводится с помощью средств технического диагностирования и методов органолептического контроля на пунктах технического осмотра или с использованием передвижных диагностических линий, обеспечивающих выполнение в полном объеме процедуры технического осмотра в соответствии с требованиями к производственно-технической базе, фотографическому изображению транспортного средства, точности определения координат места проведения технического диагностирования и требованиями документов, содержащихся в </w:t>
      </w:r>
      <w:hyperlink r:id="rId21" w:history="1">
        <w:r>
          <w:rPr>
            <w:color w:val="0000FF"/>
          </w:rPr>
          <w:t>перечне</w:t>
        </w:r>
      </w:hyperlink>
      <w:r>
        <w:t xml:space="preserve"> документов по стандартизации, обязательное применение которых</w:t>
      </w:r>
      <w:proofErr w:type="gramEnd"/>
      <w:r>
        <w:t xml:space="preserve"> обеспечивает безопасность дорожного движения при его организации на территории Российской Федерации, утвержденном распоряжением Правительства Российской Федерации от 4 ноября 2017 г. N 2438-р.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14. Продолжительность технического диагностирования транспортных средств отдельных категорий приводится в </w:t>
      </w:r>
      <w:hyperlink w:anchor="P975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По результатам технического осмотра оператор оформляет в единой автоматизированной информационной системе технического осмотра диагностическую карту по форме согласно </w:t>
      </w:r>
      <w:hyperlink w:anchor="P1129" w:history="1">
        <w:r>
          <w:rPr>
            <w:color w:val="0000FF"/>
          </w:rPr>
          <w:t>приложению N 3</w:t>
        </w:r>
      </w:hyperlink>
      <w:r>
        <w:t>, содержащую заключение о соответствии или несоответствии транспортного средства обязательным требованиям безопасности транспортных средств (подтверждающую или не подтверждающую допуск транспортного средства к участию в дорожном движении), которая подписывается усиленной квалифицированной электронной подписью технического эксперта, проводившего техническое диагностирование транспортного средства.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По запросу заявителя оператор технического осмотра выдает диагностическую карту на </w:t>
      </w:r>
      <w:r>
        <w:lastRenderedPageBreak/>
        <w:t>бумажном носителе, которая заверяется подписью технического эксперта, проводившего техническое диагностирование, и печатью оператора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Правила</w:t>
        </w:r>
      </w:hyperlink>
      <w:r>
        <w:t xml:space="preserve"> заполнения диагностической карты утверждаются Министерством транспорта Российской Федерации.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Транспортное средство, в отношении которого оформлена диагностическая карта, содержащая заключение о несоответствии транспортного средства обязательным требованиям безопасности транспортных средств (не подтверждающая допуск транспортного средства к участию в дорожном движении), подлежит повторному техническому осмотру, проводимому в порядке, предусмотренном настоящими Правилами, с учетом особенностей, установленных </w:t>
      </w:r>
      <w:hyperlink r:id="rId23" w:history="1">
        <w:r>
          <w:rPr>
            <w:color w:val="0000FF"/>
          </w:rPr>
          <w:t>статьей 18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III. Особенности проведения технического осмотра</w:t>
      </w:r>
    </w:p>
    <w:p w:rsidR="00C4415F" w:rsidRDefault="00C4415F">
      <w:pPr>
        <w:pStyle w:val="ConsPlusTitle"/>
        <w:jc w:val="center"/>
      </w:pPr>
      <w:r>
        <w:t>вне пунктов технического осмотра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17. Проведение технического осмотра вне пунктов технического осмотра организуется с использованием передвижных диагностических линий в целях выполнения нормативов минимальной обеспеченности населения пунктами технического осмотра, предусмотренных </w:t>
      </w:r>
      <w:hyperlink r:id="rId24" w:history="1">
        <w:r>
          <w:rPr>
            <w:color w:val="0000FF"/>
          </w:rPr>
          <w:t>статьей 6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>18. Оператор технического осмотра, являющийся владельцем передвижной диагностической линии, проводит технический осмотр с использованием передвижной диагностической линии в границах субъекта Российской Федерации, в котором расположен пункт технического осмотра такого оператора технического осмотра.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Адреса (координаты) мест проведения технического осмотра, в том числе с использованием передвижной диагностической линии, во входящих в состав субъекта Российской Федерации муниципальных образованиях, в которых не соблюдаются нормативы минимальной обеспеченности населения пунктами технического осмотра, согласовываются оператором технического осмотра с исполнительным органом государственной власти субъекта Российской Федерации, уполномоченным на принятие мер по организации проведения технического осмотра.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>20. График работы пункта технического осмотра, использующего передвижную диагностическую линию (с учетом климатических условий эксплуатации, установленных заводом-изготовителем передвижных диагностических линий), согласовывается с исполнительным органом государственной власти субъекта Российской Федерации, уполномоченным на принятие мер по организации технического осмотра в регионе.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  <w:outlineLvl w:val="1"/>
      </w:pPr>
      <w:r>
        <w:t>IV. Порядок аннулирования диагностической карты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21. В случаях, указанных в </w:t>
      </w:r>
      <w:hyperlink r:id="rId25" w:history="1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государственного контроля (надзора) за организацией и проведением технического осмотра транспортных средств путем </w:t>
      </w:r>
      <w:proofErr w:type="gramStart"/>
      <w:r>
        <w:t>внесения</w:t>
      </w:r>
      <w:proofErr w:type="gramEnd"/>
      <w:r>
        <w:t xml:space="preserve">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принятием решения о привлечении к административной ответственности оператора технического осмотра транспортного средства в соответствии со </w:t>
      </w:r>
      <w:hyperlink r:id="rId26" w:history="1">
        <w:r>
          <w:rPr>
            <w:color w:val="0000FF"/>
          </w:rPr>
          <w:t>статьей 14.4.1</w:t>
        </w:r>
      </w:hyperlink>
      <w:r>
        <w:t xml:space="preserve"> Кодекса Российской Федерации об административных правонарушениях.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proofErr w:type="gramStart"/>
      <w:r>
        <w:t>Орган государственного контроля (надзора) за организацией и проведением технического осмотра транспортных средств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средства.</w:t>
      </w:r>
      <w:proofErr w:type="gramEnd"/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1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5" w:name="P97"/>
      <w:bookmarkEnd w:id="5"/>
      <w:r>
        <w:t>ОБЯЗАТЕЛЬНЫЕ ТРЕБОВАНИЯ</w:t>
      </w:r>
    </w:p>
    <w:p w:rsidR="00C4415F" w:rsidRDefault="00C4415F">
      <w:pPr>
        <w:pStyle w:val="ConsPlusTitle"/>
        <w:jc w:val="center"/>
      </w:pPr>
      <w:r>
        <w:t>БЕЗОПАСНОСТИ ТРАНСПОРТНЫХ СРЕДСТВ, ПРЕДЪЯВЛЯЕМЫЕ</w:t>
      </w:r>
    </w:p>
    <w:p w:rsidR="00C4415F" w:rsidRDefault="00C4415F">
      <w:pPr>
        <w:pStyle w:val="ConsPlusTitle"/>
        <w:jc w:val="center"/>
      </w:pPr>
      <w:r>
        <w:t xml:space="preserve">ПРИ ПРОВЕДЕНИИ ТЕХНИЧЕСКОГО ОСМОТРА К </w:t>
      </w:r>
      <w:proofErr w:type="gramStart"/>
      <w:r>
        <w:t>ТРАНСПОРТНЫМ</w:t>
      </w:r>
      <w:proofErr w:type="gramEnd"/>
    </w:p>
    <w:p w:rsidR="00C4415F" w:rsidRDefault="00C4415F">
      <w:pPr>
        <w:pStyle w:val="ConsPlusTitle"/>
        <w:jc w:val="center"/>
      </w:pPr>
      <w:r>
        <w:t>СРЕДСТВАМ ОТДЕЛЬНЫХ КАТЕГОРИЙ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89)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sectPr w:rsidR="00C4415F" w:rsidSect="00AD18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26"/>
        <w:gridCol w:w="926"/>
        <w:gridCol w:w="926"/>
        <w:gridCol w:w="926"/>
        <w:gridCol w:w="926"/>
        <w:gridCol w:w="926"/>
        <w:gridCol w:w="926"/>
        <w:gridCol w:w="926"/>
        <w:gridCol w:w="931"/>
      </w:tblGrid>
      <w:tr w:rsidR="00C4415F">
        <w:tc>
          <w:tcPr>
            <w:tcW w:w="5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Обязательные требования безопасности транспортных средств</w:t>
            </w:r>
          </w:p>
        </w:tc>
        <w:tc>
          <w:tcPr>
            <w:tcW w:w="8339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Категории транспортных средств </w:t>
            </w:r>
            <w:hyperlink w:anchor="P95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4415F">
        <w:tc>
          <w:tcPr>
            <w:tcW w:w="532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/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I. Тормозные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1. Показатели эффективности тормозной системы и устойчивости транспортного средства должны соответствовать требованиям </w:t>
            </w:r>
            <w:hyperlink r:id="rId28" w:history="1">
              <w:r>
                <w:rPr>
                  <w:color w:val="0000FF"/>
                </w:rPr>
                <w:t>пунктов 1.2</w:t>
              </w:r>
            </w:hyperlink>
            <w:r>
              <w:t xml:space="preserve"> - </w:t>
            </w:r>
            <w:hyperlink r:id="rId29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1.10</w:t>
              </w:r>
            </w:hyperlink>
            <w:r>
              <w:t xml:space="preserve"> приложения N 8 к техническому регламенту Таможенного союза "О безопасности колесных транспортных средств" (</w:t>
            </w:r>
            <w:proofErr w:type="gramStart"/>
            <w:r>
              <w:t>ТР</w:t>
            </w:r>
            <w:proofErr w:type="gramEnd"/>
            <w:r>
              <w:t xml:space="preserve"> ТС 018/2011), утвержденному решением Комиссии Таможенного союза от 9 декабря 2011 г. N 877 (далее - ТР ТС 018/2011)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2. При проверках на стендах допускается относительная разность тормозных сил колес оси согласно </w:t>
            </w:r>
            <w:hyperlink r:id="rId32" w:history="1">
              <w:r>
                <w:rPr>
                  <w:color w:val="0000FF"/>
                </w:rPr>
                <w:t>пункту 1.4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3. Рабочая тормозная система автопоездов с пневматическим тормозным приводом в режиме аварийного (автоматического) торможения должна быть работоспособна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4. Утечки сжатого воздуха из колесных тормозных камер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5. Подтекания тормозной жидкости, нарушения герметичности трубопроводов или соединений в гидравлическом тормозном приводе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6. Коррозия, грозящая потерей герметичности или разрушением,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7. Механические повреждения тормозных </w:t>
            </w:r>
            <w:r>
              <w:lastRenderedPageBreak/>
              <w:t>трубопроводов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8. Наличие деталей с трещинами или остаточной деформацией в тормозном приводе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9. Средства сигнализации и контроля тормозных систем, манометры пневматического и пневмогидравлического тормозного привода, устройство фиксации органа управления стояночной тормозной системы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10. Набухание тормозных шлангов под давлением, наличие трещин на них и видимых мест перетирания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11. Расположение и длина соединительных шлангов пневматического тормозного привода автопоездов должны исключать их повреждения при взаимных перемещениях тягача и прицепа (полуприцепа)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II. Рулевое управление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12. Изменение усилия при повороте рулевого колеса должно быть плавным во всем диапазоне угла его поворота. Неработоспособность усилителя рулевого управления транспортного средства (при его наличии на транспортном средстве)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13. Самопроизвольный поворот рулевого колеса с усилителем рулевого управления от нейтрального положения при работающем двигателе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14. Суммарный люфт в рулевом управлении не должен превышать предельных значений, установленных изготовителем транспортного </w:t>
            </w:r>
            <w:r>
              <w:lastRenderedPageBreak/>
              <w:t xml:space="preserve">средства, а при отсутствии указанных данных - предельных значений, указанных в </w:t>
            </w:r>
            <w:hyperlink r:id="rId33" w:history="1">
              <w:r>
                <w:rPr>
                  <w:color w:val="0000FF"/>
                </w:rPr>
                <w:t>пункте 2.3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15. Повреждения и отсутствие деталей крепления рулевой колонки и картера рулевого механизма, а также повышение подвижности деталей рулевого привода относительно друг друга или кузова (рамы), не предусмотренное изготовителем транспортного средства (в эксплуатационной документации), не допускаются. Резьбовые соединения должны быть затянуты и зафиксированы способом, предусмотренным изготовителем транспортного средства. Люфт в соединениях рычагов поворотных цапф и шарнирах рулевых тяг не допускается. Устройство фиксации положения рулевой колонки с регулируемым положением рулевого колеса должно быть работоспособно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16. Применение в рулевом механизме и рулевом приводе деталей со следами остаточной деформации, с трещинами и другими дефектами, неработоспособность или отсутствие предусмотренного изготовителем транспортного средства в эксплуатационной документации транспортного средства рулевого демпфера и усилителя рулевого управления не допускаются. Подтекание рабочей жидкости в гидросистеме усилителя рулевого управления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17. Максимальный поворот рулевого колеса должен ограничиваться только устройствами, предусмотренными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lastRenderedPageBreak/>
              <w:t>III. Внешние световые приборы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18. На транспортных средствах применение устройств освещения и световой сигнализации определяется требованиями </w:t>
            </w:r>
            <w:hyperlink r:id="rId34" w:history="1">
              <w:r>
                <w:rPr>
                  <w:color w:val="0000FF"/>
                </w:rPr>
                <w:t>пунктов 3.1</w:t>
              </w:r>
            </w:hyperlink>
            <w:r>
              <w:t xml:space="preserve"> - </w:t>
            </w:r>
            <w:hyperlink r:id="rId35" w:history="1">
              <w:r>
                <w:rPr>
                  <w:color w:val="0000FF"/>
                </w:rPr>
                <w:t>3.5</w:t>
              </w:r>
            </w:hyperlink>
            <w:r>
              <w:t xml:space="preserve">, а также </w:t>
            </w:r>
            <w:hyperlink r:id="rId36" w:history="1">
              <w:r>
                <w:rPr>
                  <w:color w:val="0000FF"/>
                </w:rPr>
                <w:t>таблицы 3.1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19. Отсутствие,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(в том числе бесцветных или окрашенных оптических деталей и пленок) не допускаются.</w:t>
            </w:r>
          </w:p>
          <w:p w:rsidR="00C4415F" w:rsidRDefault="00C4415F">
            <w:pPr>
              <w:pStyle w:val="ConsPlusNormal"/>
            </w:pPr>
            <w:r>
              <w:t xml:space="preserve">Указанное требование не распространяется на оптические элементы, предназначенные для коррекции светового пучка фар в целях приведения его в соответствие с требованиями </w:t>
            </w:r>
            <w:hyperlink r:id="rId37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018/2011</w:t>
              </w:r>
            </w:hyperlink>
            <w:r>
              <w:t>.</w:t>
            </w:r>
          </w:p>
          <w:p w:rsidR="00C4415F" w:rsidRDefault="00C4415F">
            <w:pPr>
              <w:pStyle w:val="ConsPlusNormal"/>
            </w:pPr>
            <w:r>
              <w:t xml:space="preserve">В случае установки оптических элементов, предназначенных для коррекции светового пучка фар в целях приведения его в соответствие с требованиями </w:t>
            </w:r>
            <w:hyperlink r:id="rId38" w:history="1">
              <w:proofErr w:type="gramStart"/>
              <w:r>
                <w:rPr>
                  <w:color w:val="0000FF"/>
                </w:rPr>
                <w:t>ТР</w:t>
              </w:r>
              <w:proofErr w:type="gramEnd"/>
              <w:r>
                <w:rPr>
                  <w:color w:val="0000FF"/>
                </w:rPr>
                <w:t xml:space="preserve"> ТС 018/2011</w:t>
              </w:r>
            </w:hyperlink>
            <w:r>
              <w:t xml:space="preserve">, подтверждение этого соответствия должно производиться в соответствии с </w:t>
            </w:r>
            <w:hyperlink r:id="rId39" w:history="1">
              <w:r>
                <w:rPr>
                  <w:color w:val="0000FF"/>
                </w:rPr>
                <w:t>разделом 9</w:t>
              </w:r>
            </w:hyperlink>
            <w:r>
              <w:t xml:space="preserve"> приложения N 9 к ТР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20. Сигналы торможения (основные и дополнительные) должны включаться при воздействии на органы управления рабочей и аварийной тормозных систем и работать в постоянном режиме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21. Углы регулировки и сила света фар должны соответствовать требованиям </w:t>
            </w:r>
            <w:hyperlink r:id="rId40" w:history="1">
              <w:r>
                <w:rPr>
                  <w:color w:val="0000FF"/>
                </w:rPr>
                <w:t>пунктов 3.8.4</w:t>
              </w:r>
            </w:hyperlink>
            <w:r>
              <w:t xml:space="preserve"> - </w:t>
            </w:r>
            <w:hyperlink r:id="rId41" w:history="1">
              <w:r>
                <w:rPr>
                  <w:color w:val="0000FF"/>
                </w:rPr>
                <w:t>3.8.8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22. Изменение мест расположения и демонтаж </w:t>
            </w:r>
            <w:r>
              <w:lastRenderedPageBreak/>
              <w:t xml:space="preserve">предусмотренных конструкцией транспортного средства фар и сигнальных фонарей не допускаются </w:t>
            </w:r>
            <w:hyperlink w:anchor="P9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23. Следующие компоненты транспортных средств согласно их типу должны соответствовать требованиям пунктов </w:t>
            </w:r>
            <w:hyperlink r:id="rId42" w:history="1">
              <w:r>
                <w:rPr>
                  <w:color w:val="0000FF"/>
                </w:rPr>
                <w:t>приложения N 8</w:t>
              </w:r>
            </w:hyperlink>
            <w:r>
              <w:t xml:space="preserve"> к </w:t>
            </w:r>
            <w:proofErr w:type="gramStart"/>
            <w:r>
              <w:t>ТР</w:t>
            </w:r>
            <w:proofErr w:type="gramEnd"/>
            <w:r>
              <w:t xml:space="preserve"> ТС 018/2011:</w:t>
            </w:r>
          </w:p>
          <w:p w:rsidR="00C4415F" w:rsidRDefault="00C4415F">
            <w:pPr>
              <w:pStyle w:val="ConsPlusNormal"/>
            </w:pPr>
            <w:r>
              <w:t xml:space="preserve">светоотражающая маркировка - </w:t>
            </w:r>
            <w:hyperlink r:id="rId43" w:history="1">
              <w:r>
                <w:rPr>
                  <w:color w:val="0000FF"/>
                </w:rPr>
                <w:t>пункту 3.7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фары ближнего и дальнего света и противотуманные - </w:t>
            </w:r>
            <w:hyperlink r:id="rId44" w:history="1">
              <w:r>
                <w:rPr>
                  <w:color w:val="0000FF"/>
                </w:rPr>
                <w:t>пункту 3.8.1</w:t>
              </w:r>
            </w:hyperlink>
            <w:r>
              <w:t>;</w:t>
            </w:r>
          </w:p>
          <w:p w:rsidR="00C4415F" w:rsidRDefault="00C4415F">
            <w:pPr>
              <w:pStyle w:val="ConsPlusNormal"/>
            </w:pPr>
            <w:r>
              <w:t xml:space="preserve">источники света в фарах - </w:t>
            </w:r>
            <w:hyperlink r:id="rId45" w:history="1">
              <w:r>
                <w:rPr>
                  <w:color w:val="0000FF"/>
                </w:rPr>
                <w:t>пункту 3.8.2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IV. Стеклоочистители и стеклоомыватели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24. Стеклоочистители и стеклоомыватели должны быть работоспособны. Не допускается демонтаж предусмотренных изготовителем транспортного средства в эксплуатационной документации транспортного средства стеклоочистителей и стеклоомывателей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25. Стеклоомыватель должен обеспечивать подачу жидкости в зоны очистки стекла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V. Шины и колеса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26. Остаточная глубина рисунка протектора шин должна соответствовать требованиям </w:t>
            </w:r>
            <w:hyperlink r:id="rId46" w:history="1">
              <w:r>
                <w:rPr>
                  <w:color w:val="0000FF"/>
                </w:rPr>
                <w:t>пункта 5.6.1</w:t>
              </w:r>
            </w:hyperlink>
            <w:r>
              <w:t xml:space="preserve"> и </w:t>
            </w:r>
            <w:hyperlink r:id="rId47" w:history="1">
              <w:r>
                <w:rPr>
                  <w:color w:val="0000FF"/>
                </w:rPr>
                <w:t>5.6.2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27. Шина считается непригодной к эксплуатации в случаях, установленных </w:t>
            </w:r>
            <w:hyperlink r:id="rId48" w:history="1">
              <w:r>
                <w:rPr>
                  <w:color w:val="0000FF"/>
                </w:rPr>
                <w:t>пунктами 5.6.1</w:t>
              </w:r>
            </w:hyperlink>
            <w:r>
              <w:t xml:space="preserve"> - </w:t>
            </w:r>
            <w:hyperlink r:id="rId49" w:history="1">
              <w:r>
                <w:rPr>
                  <w:color w:val="0000FF"/>
                </w:rPr>
                <w:t>5.6.5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28. Отсутствие хотя бы одного болта или гайки крепления дисков и ободьев колес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29. Наличие трещин на дисках и ободьях колес, а также следов их устранения сваркой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30. Видимые нарушения формы и размеров крепежных отверстий в дисках колес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31. Установка на одну ось транспортного средства шин разных размеров, конструкций (радиальной, диагональной, камерной, бескамерной), моделей, с разными рисунками протектора, морозостойких и неморозостойких, новых и восстановленных, новых и с углубленным рисунком протектора не допускается. Шины с шипами противоскольжения в случае их применения должны быть установлены на все колеса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VI. Двигатель и его системы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32. Содержание загрязняющих веществ в отработавших газах транспортных средств должно соответствовать требованиям </w:t>
            </w:r>
            <w:hyperlink r:id="rId50" w:history="1">
              <w:r>
                <w:rPr>
                  <w:color w:val="0000FF"/>
                </w:rPr>
                <w:t>пунктов 9.1</w:t>
              </w:r>
            </w:hyperlink>
            <w:r>
              <w:t xml:space="preserve"> и </w:t>
            </w:r>
            <w:hyperlink r:id="rId51" w:history="1">
              <w:r>
                <w:rPr>
                  <w:color w:val="0000FF"/>
                </w:rPr>
                <w:t>9.2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33. Подтекание и каплепадение топлива в системе питания бензиновых и дизельных двигателей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34. Запорные устройства топливных баков и устройства перекрытия топлива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35. Система питания газобаллонных транспортных </w:t>
            </w:r>
            <w:r>
              <w:lastRenderedPageBreak/>
              <w:t xml:space="preserve">средств, ее размещение и установка должны соответствовать требованиям </w:t>
            </w:r>
            <w:hyperlink r:id="rId52" w:history="1">
              <w:r>
                <w:rPr>
                  <w:color w:val="0000FF"/>
                </w:rPr>
                <w:t>пункта 9.8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36. Уровень шума выпускной системы транспортного средства должен соответствовать требованиям </w:t>
            </w:r>
            <w:hyperlink r:id="rId53" w:history="1">
              <w:r>
                <w:rPr>
                  <w:color w:val="0000FF"/>
                </w:rPr>
                <w:t>пункта 9.9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  <w:outlineLvl w:val="2"/>
            </w:pPr>
            <w:r>
              <w:t>VII. Прочие элементы конструкции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37. Транспортное средство должно быть укомплектовано обеспечивающими поля обзора зеркалами заднего вида согласно </w:t>
            </w:r>
            <w:hyperlink r:id="rId54" w:history="1">
              <w:r>
                <w:rPr>
                  <w:color w:val="0000FF"/>
                </w:rPr>
                <w:t>таблице 4.1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018/2011. При отсутствии возможности обзора через задние стекла легковых автомобилей необходима установка наружных зеркал заднего вида с обеих сторон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38. Не допускается наличие дополнительных предметов или покрытий, ограничивающих обзорность с места водителя (за исключением зеркал заднего вида, деталей стеклоочистителей, наружных и нанесенных или встроенных в стекла радиоантенн, нагревательных элементов устройств размораживания и осушения ветрового стекла). В верхней части ветрового стекла допускается крепление полосы прозрачной цветной пленки шириной, соответствующей требованиям </w:t>
            </w:r>
            <w:hyperlink r:id="rId55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39. Светопропускание ветрового стекла и стекол, через которые обеспечивается передняя обзорность для водителя, должно соответствовать требованиям </w:t>
            </w:r>
            <w:hyperlink r:id="rId56" w:history="1">
              <w:r>
                <w:rPr>
                  <w:color w:val="0000FF"/>
                </w:rPr>
                <w:t>пункта 4.3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40. Наличие трещин на ветровых стеклах транспортных сре</w:t>
            </w:r>
            <w:proofErr w:type="gramStart"/>
            <w:r>
              <w:t>дств в з</w:t>
            </w:r>
            <w:proofErr w:type="gramEnd"/>
            <w:r>
              <w:t>оне очистки стеклоочистителем половины стекла, расположенной со стороны водителя,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41. Замки дверей кузова или кабины, механизмы регулировки и фиксирующие устройства сидений водителя и пассажиров, устройство обогрева и обдува ветрового стекла и предусмотренное изготовителем транспортного средства противоугонное устройство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42. Запоры бортов грузовой платформы и запоры горловин цистерн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43. Аварийный выключатель дверей и сигнал требования остановки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44. Аварийные выходы и устройства приведения их в действие, приборы внутреннего освещения салона, привод управления дверями и сигнализация их работы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45. Транспортное средство должно быть укомплектовано звуковым сигнальным прибором в рабочем состоянии. Звуковой сигнальный прибор должен при приведении в действие органа его управления издавать непрерывный и монотонный звук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46. Аварийные выходы должны быть обозначены и иметь таблички, содержащие правила их использования. Должен быть обеспечен свободный доступ к аварийным выходам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47. Задние и боковые защитные устройства должны соответствовать требованиям </w:t>
            </w:r>
            <w:hyperlink r:id="rId57" w:history="1">
              <w:r>
                <w:rPr>
                  <w:color w:val="0000FF"/>
                </w:rPr>
                <w:t>пункта 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48. Замок седельно-сцепного устройства седельных автомобилей-тягачей должен после сцепки закрываться автоматически. Ручная и автоматическая блокировки седельно-сцепного устройства должны предотвращать самопроизвольное расцепление тягача и полуприцепа. Деформации, разрывы, трещины и другие видимые повреждения сцепного шкворня, гнезда шкворня, опорной плиты, тягового крюка, шара тягово-сцепного устройства, трещины, разрушения, в том числе местные, или отсутствие деталей сцепных устройств и их крепления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49. Одноосные прицепы (за исключением роспусков) и прицепы, не оборудованные рабочей тормозной системой, должны быть оборудованы предохранительными приспособлениями (цепями, тросами), которые должны быть работоспособны. Длина предохранительных цепей (тросов) должна предотвращать контакт сцепной петли дышла с дорожной поверхностью и при этом обеспечивать управление прицепом в случае обрыва (поломки) тягово-сцепного устройства. Предохранительные цепи (тросы) не должны крепиться к деталям тягово-сцепного устройства или деталям его крепления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50. Прицепы (за исключением одноосных и роспусков) должны быть оборудованы устройством, поддерживающим сцепную петлю дышла в положении, облегчающем сцепку и расцепку с тяговым автомобилем. Деформации сцепной петли </w:t>
            </w:r>
            <w:r>
              <w:lastRenderedPageBreak/>
              <w:t>или дышла прицепа, грубо нарушающие их положение относительно продольной центральной плоскости симметрии прицепа, разрывы, трещины и другие видимые повреждения сцепной петли или дышла прицепа не допускаются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51. Продольный люфт в беззазорных тягово-сцепных устройствах с тяговой вилкой для сцепленного с прицепом тягача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52. Тягово-сцепные устройства должны обеспечивать беззазорную сцепку сухарей замкового устройства с шаром. Самопроизвольная расцепка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53. К размерным характеристикам сцепных устройств применяются требования, предусмотренные </w:t>
            </w:r>
            <w:hyperlink r:id="rId58" w:history="1">
              <w:r>
                <w:rPr>
                  <w:color w:val="0000FF"/>
                </w:rPr>
                <w:t>пунктом 6.8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54. Места для сидения в транспортных средствах, конструкция которых предусматривает наличие ремней безопасности, должны быть ими оборудованы в соответствии с требованиями нормативных правовых актов, действовавших на дату выпуска транспортного средства в обращение. Ремни безопасности не должны иметь следующих дефектов:</w:t>
            </w:r>
          </w:p>
          <w:p w:rsidR="00C4415F" w:rsidRDefault="00C4415F">
            <w:pPr>
              <w:pStyle w:val="ConsPlusNormal"/>
            </w:pPr>
            <w:r>
              <w:t>надрыв на лямке, видимый невооруженным глазом;</w:t>
            </w:r>
          </w:p>
          <w:p w:rsidR="00C4415F" w:rsidRDefault="00C4415F">
            <w:pPr>
              <w:pStyle w:val="ConsPlusNormal"/>
            </w:pPr>
            <w:r>
              <w:t>замок не фиксирует "язык" лямки или не выбрасывает его после нажатия на кнопку замыкающего устройства;</w:t>
            </w:r>
          </w:p>
          <w:p w:rsidR="00C4415F" w:rsidRDefault="00C4415F">
            <w:pPr>
              <w:pStyle w:val="ConsPlusNormal"/>
            </w:pPr>
            <w:r>
              <w:t>лямка не вытягивается или не втягивается во втягивающее устройство (катушку);</w:t>
            </w:r>
          </w:p>
          <w:p w:rsidR="00C4415F" w:rsidRDefault="00C4415F">
            <w:pPr>
              <w:pStyle w:val="ConsPlusNormal"/>
            </w:pPr>
            <w:r>
              <w:t>при резком вытягивании лямки ремня не обеспечивается прекращение (блокирование) ее вытягивания из втягивающего устройства (катушки)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55. Транспортные средства (кроме транспортных средств категорий O, L</w:t>
            </w:r>
            <w:r>
              <w:rPr>
                <w:vertAlign w:val="subscript"/>
              </w:rPr>
              <w:t>1</w:t>
            </w:r>
            <w:r>
              <w:t xml:space="preserve"> - L</w:t>
            </w:r>
            <w:r>
              <w:rPr>
                <w:vertAlign w:val="subscript"/>
              </w:rPr>
              <w:t>4</w:t>
            </w:r>
            <w:r>
              <w:t xml:space="preserve">) должны быть укомплектованы знаком аварийной остановки, а также медицинскими аптечками в соответствии с требованиями </w:t>
            </w:r>
            <w:hyperlink r:id="rId59" w:history="1">
              <w:r>
                <w:rPr>
                  <w:color w:val="0000FF"/>
                </w:rPr>
                <w:t>пунктов 11.1</w:t>
              </w:r>
            </w:hyperlink>
            <w:r>
              <w:t xml:space="preserve"> и </w:t>
            </w:r>
            <w:hyperlink r:id="rId60" w:history="1">
              <w:r>
                <w:rPr>
                  <w:color w:val="0000FF"/>
                </w:rPr>
                <w:t>11.2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56. Транспортные средства должны быть укомплектованы не менее чем 2 противооткатными упорами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57. Транспортные средства должны быть укомплектованы огнетушителями в соответствии с требованиями </w:t>
            </w:r>
            <w:hyperlink r:id="rId61" w:history="1">
              <w:r>
                <w:rPr>
                  <w:color w:val="0000FF"/>
                </w:rPr>
                <w:t>пункта 11.4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58. Поручни в автобусах, запасное колесо, аккумуляторные батареи, сиденья, а также огнетушители и медицинская аптечка на транспортных средствах, оборудованных приспособлениями для их крепления, должны быть надежно закреплены в местах, предусмотренных конструкцией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59. На транспортных средствах, оборудованных механизмами продольной регулировки положения подушки и угла наклона спинки сиденья или механизмом перемещения сиденья (для посадки и высадки пассажиров), указанные механизмы должны быть работоспособны. После прекращения регулирования или пользования эти механизмы должны автоматически блокироваться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60. Транспортные средства технически допустимой максимальной массой свыше 7,5 тонны должны быть </w:t>
            </w:r>
            <w:r>
              <w:lastRenderedPageBreak/>
              <w:t>оборудованы надколесными грязезащитными устройствами. Ширина этих устройств должна быть не менее ширины применяемых шин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61. Вертикальная статическая нагрузка на тяговое устройство автомобиля от цепной петли одноосного прицепа (прицепа-роспуска) в снаряженном состоянии должна соответствовать требованиям </w:t>
            </w:r>
            <w:hyperlink r:id="rId62" w:history="1">
              <w:r>
                <w:rPr>
                  <w:color w:val="0000FF"/>
                </w:rPr>
                <w:t>пункта 2.3</w:t>
              </w:r>
            </w:hyperlink>
            <w:r>
              <w:t xml:space="preserve"> приложения N 5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62. Держатель запасного колеса, лебедка и механизм подъема-опускания запасного колеса должны быть работоспособны. Храповое устройство лебедки должно четко фиксировать барабан с крепежным канатом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63. Механизмы подъема и опускания опор и фиксаторы транспортного положения опор, предназначенные для предотвращения их самопроизвольного опускания при движении транспортного средства, должны быть работоспособны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64. Каплепадение масел и рабочих жидкостей из двигателя, коробки передач, бортовых редукторов, заднего моста, сцепления, аккумуляторной батареи, систем охлаждения и кондиционирования воздуха и дополнительно устанавливаемых на транспортных средствах гидравлических устройств не допускается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65. На каждом транспортном средстве категорий M и N должны быть предусмотрены места установки одного переднего и одного заднего государственного регистрационного знака.</w:t>
            </w:r>
          </w:p>
          <w:p w:rsidR="00C4415F" w:rsidRDefault="00C4415F">
            <w:pPr>
              <w:pStyle w:val="ConsPlusNormal"/>
            </w:pPr>
            <w:r>
              <w:t xml:space="preserve">На транспортных средствах категорий L и O должны </w:t>
            </w:r>
            <w:r>
              <w:lastRenderedPageBreak/>
              <w:t>быть предусмотрены места установки одного заднего государственного регистрационного знака. Место для установки государственного регистрационного знака должно представлять собой плоскую вертикальную поверхность и располагаться таким образом, чтобы исключалось загораживание государственного регистрационного знака элементами конструкции транспортного средства. При этом государственные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средства.</w:t>
            </w:r>
          </w:p>
          <w:p w:rsidR="00C4415F" w:rsidRDefault="00C4415F">
            <w:pPr>
              <w:pStyle w:val="ConsPlusNormal"/>
            </w:pPr>
            <w:r>
              <w:t>Государственный регистрационный знак должен устанавливаться по оси симметрии транспортного средства или слева от нее по направлению движения транспортного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66. На транспортных средствах, оснащенных устройствами или системами вызова экстренных оперативных служб, такие устройства или системы должны быть работоспособны и соответствовать требованиям </w:t>
            </w:r>
            <w:hyperlink r:id="rId63" w:history="1">
              <w:r>
                <w:rPr>
                  <w:color w:val="0000FF"/>
                </w:rPr>
                <w:t>пункта 118</w:t>
              </w:r>
            </w:hyperlink>
            <w:r>
              <w:t xml:space="preserve"> приложения N 10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67. Изменения в конструкции транспортного средства, внесенные в нарушение требований, установленных </w:t>
            </w:r>
            <w:hyperlink r:id="rId64" w:history="1">
              <w:r>
                <w:rPr>
                  <w:color w:val="0000FF"/>
                </w:rPr>
                <w:t>разделом 4 главы V</w:t>
              </w:r>
            </w:hyperlink>
            <w:r>
              <w:t xml:space="preserve"> </w:t>
            </w:r>
            <w:proofErr w:type="gramStart"/>
            <w:r>
              <w:t>ТР</w:t>
            </w:r>
            <w:proofErr w:type="gramEnd"/>
            <w:r>
              <w:t xml:space="preserve"> ТС 018/2011, не допускаются </w:t>
            </w:r>
            <w:hyperlink w:anchor="P96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68. Транспортные средства категорий M</w:t>
            </w:r>
            <w:r>
              <w:rPr>
                <w:vertAlign w:val="subscript"/>
              </w:rPr>
              <w:t>2</w:t>
            </w:r>
            <w:r>
              <w:t xml:space="preserve"> и M</w:t>
            </w:r>
            <w:r>
              <w:rPr>
                <w:vertAlign w:val="subscript"/>
              </w:rPr>
              <w:t>3</w:t>
            </w:r>
            <w:r>
              <w:t xml:space="preserve"> должны отвечать дополнительным требованиям, установленным в </w:t>
            </w:r>
            <w:hyperlink r:id="rId65" w:history="1">
              <w:r>
                <w:rPr>
                  <w:color w:val="0000FF"/>
                </w:rPr>
                <w:t>разделе 13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69. Специальные транспортные средства оперативных служб должны отвечать дополнительным требованиям, установленным в </w:t>
            </w:r>
            <w:hyperlink r:id="rId66" w:history="1">
              <w:r>
                <w:rPr>
                  <w:color w:val="0000FF"/>
                </w:rPr>
                <w:t>разделе 14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70. Специализированные транспортные средства должны отвечать дополнительным требованиям, установленным </w:t>
            </w:r>
            <w:hyperlink r:id="rId67" w:history="1">
              <w:r>
                <w:rPr>
                  <w:color w:val="0000FF"/>
                </w:rPr>
                <w:t>пунктами 15.1</w:t>
              </w:r>
            </w:hyperlink>
            <w:r>
              <w:t xml:space="preserve"> - </w:t>
            </w:r>
            <w:hyperlink r:id="rId68" w:history="1">
              <w:r>
                <w:rPr>
                  <w:color w:val="0000FF"/>
                </w:rPr>
                <w:t>15.4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15.6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15.8 раздела 15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71. Специальные транспортные средства для коммунального хозяйства и содержания дорог должны отвечать дополнительным требованиям, установленным в </w:t>
            </w:r>
            <w:hyperlink r:id="rId71" w:history="1">
              <w:r>
                <w:rPr>
                  <w:color w:val="0000FF"/>
                </w:rPr>
                <w:t>разделе 16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72. Транспортные средства для перевозки грузов с использованием прицепа-роспуска должны отвечать дополнительным требованиям, установленным в </w:t>
            </w:r>
            <w:hyperlink r:id="rId72" w:history="1">
              <w:r>
                <w:rPr>
                  <w:color w:val="0000FF"/>
                </w:rPr>
                <w:t>разделе 17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73. Автоэвакуаторы должны отвечать дополнительным требованиям, установленным в </w:t>
            </w:r>
            <w:hyperlink r:id="rId73" w:history="1">
              <w:r>
                <w:rPr>
                  <w:color w:val="0000FF"/>
                </w:rPr>
                <w:t>разделе 18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74. Транспортные средства с грузоподъемными устройствами должны отвечать дополнительным требованиям, установленным в </w:t>
            </w:r>
            <w:hyperlink r:id="rId74" w:history="1">
              <w:r>
                <w:rPr>
                  <w:color w:val="0000FF"/>
                </w:rPr>
                <w:t>разделе 19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75. Транспортные средства для перевозки опасных грузов должны отвечать дополнительным требованиям, установленным в </w:t>
            </w:r>
            <w:hyperlink r:id="rId75" w:history="1">
              <w:r>
                <w:rPr>
                  <w:color w:val="0000FF"/>
                </w:rPr>
                <w:t>разделе 20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 xml:space="preserve">76. Транспортные средства - цистерны должны отвечать дополнительным требованиям, установленным в </w:t>
            </w:r>
            <w:hyperlink r:id="rId76" w:history="1">
              <w:r>
                <w:rPr>
                  <w:color w:val="0000FF"/>
                </w:rPr>
                <w:t>разделе 21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77. Транспортные средства - цистерны для перевозки и заправки нефтепродуктов должны отвечать дополнительным требованиям, установленным в </w:t>
            </w:r>
            <w:hyperlink r:id="rId77" w:history="1">
              <w:r>
                <w:rPr>
                  <w:color w:val="0000FF"/>
                </w:rPr>
                <w:t>разделе 22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78. Транспортные средства - цистерны для перевозки и заправки сжиженных углеводородных газов должны отвечать дополнительным требованиям, установленным в </w:t>
            </w:r>
            <w:hyperlink r:id="rId78" w:history="1">
              <w:r>
                <w:rPr>
                  <w:color w:val="0000FF"/>
                </w:rPr>
                <w:t>разделе 23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79. Транспортные средства - фургоны должны отвечать дополнительным требованиям, установленным в </w:t>
            </w:r>
            <w:hyperlink r:id="rId79" w:history="1">
              <w:r>
                <w:rPr>
                  <w:color w:val="0000FF"/>
                </w:rPr>
                <w:t>разделе 24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80. Транспортные средства - фургоны, имеющие места для перевозки людей, должны отвечать дополнительным требованиям, установленным в </w:t>
            </w:r>
            <w:hyperlink r:id="rId80" w:history="1">
              <w:r>
                <w:rPr>
                  <w:color w:val="0000FF"/>
                </w:rPr>
                <w:t>разделе 25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81. Транспортные средства для перевозки пищевых продуктов должны отвечать дополнительным требованиям, установленным в </w:t>
            </w:r>
            <w:hyperlink r:id="rId81" w:history="1">
              <w:r>
                <w:rPr>
                  <w:color w:val="0000FF"/>
                </w:rPr>
                <w:t>разделе 26</w:t>
              </w:r>
            </w:hyperlink>
            <w:r>
              <w:t xml:space="preserve"> приложения N 8 к </w:t>
            </w:r>
            <w:proofErr w:type="gramStart"/>
            <w:r>
              <w:t>ТР</w:t>
            </w:r>
            <w:proofErr w:type="gramEnd"/>
            <w:r>
              <w:t xml:space="preserve"> ТС 018/2011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82. </w:t>
            </w:r>
            <w:proofErr w:type="gramStart"/>
            <w:r>
              <w:t xml:space="preserve">Транспортное средство должно быть оснащено тахографом или контрольным устройством регистрации режима труда и отдыха водителей транспортных средств, предусмотренным </w:t>
            </w:r>
            <w:r>
              <w:lastRenderedPageBreak/>
              <w:t xml:space="preserve">Европейским </w:t>
            </w:r>
            <w:hyperlink r:id="rId82" w:history="1">
              <w:r>
                <w:rPr>
                  <w:color w:val="0000FF"/>
                </w:rPr>
                <w:t>соглашением</w:t>
              </w:r>
            </w:hyperlink>
            <w:r>
              <w:t xml:space="preserve">, касающимся работы экипажей транспортных средств, производящих международные автомобильные перевозки (ЕСТР) </w:t>
            </w:r>
            <w:hyperlink w:anchor="P961" w:history="1">
              <w:r>
                <w:rPr>
                  <w:color w:val="0000FF"/>
                </w:rPr>
                <w:t>&lt;4&gt;</w:t>
              </w:r>
            </w:hyperlink>
            <w:r>
              <w:t xml:space="preserve"> (далее - контрольное устройство (тахограф).</w:t>
            </w:r>
            <w:proofErr w:type="gramEnd"/>
          </w:p>
          <w:p w:rsidR="00C4415F" w:rsidRDefault="00C4415F">
            <w:pPr>
              <w:pStyle w:val="ConsPlusNormal"/>
            </w:pPr>
            <w:proofErr w:type="gramStart"/>
            <w:r>
              <w:t>Тахограф должен иметь настройку, проведенную не позднее 3 лет до дня представления транспортного средства на очередной технический осмотр, выводить на печать информацию о регистрационных данных транспортного средства (идентификационный номер, государственный регистрационный номер (при их наличии), номере активизированного в составе этого тахографа программно-аппаратного шифровального (криптографического) средства, текущей дате и времени.</w:t>
            </w:r>
            <w:proofErr w:type="gramEnd"/>
            <w:r>
              <w:t xml:space="preserve"> Сведения о результатах поверки тахографа, подтверждающие его пригодность для применения, содержатся в Федеральном информационном фонде по обеспечению единства измерений.</w:t>
            </w:r>
          </w:p>
          <w:p w:rsidR="00C4415F" w:rsidRDefault="00C4415F">
            <w:pPr>
              <w:pStyle w:val="ConsPlusNormal"/>
            </w:pPr>
            <w:r>
              <w:t xml:space="preserve">Контрольное устройство (тахограф) должно быть проверено, в том числе откалибровано, в соответствии с требованиями Европейского </w:t>
            </w:r>
            <w:hyperlink r:id="rId83" w:history="1">
              <w:r>
                <w:rPr>
                  <w:color w:val="0000FF"/>
                </w:rPr>
                <w:t>соглашения</w:t>
              </w:r>
            </w:hyperlink>
            <w:r>
              <w:t xml:space="preserve">, касающегося работы экипажей транспортных средств, производящих международные автомобильные перевозки (ЕСТР), не позднее 2 лет до дня представления транспортного средства на очередной технический осмотр, а также иметь знак официального утверждения типа. </w:t>
            </w:r>
            <w:proofErr w:type="gramStart"/>
            <w:r>
              <w:t>На транспортном средстве, оснащенном контрольным устройством (тахографом) (либо на самом контрольном устройстве (тахографе), должна быть размещена установочная табличка с информацией о характеристическом коэффициенте транспортного средства и дате его определения, об эффективной окружности шин колес и о дате их измерения</w:t>
            </w:r>
            <w:proofErr w:type="gram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-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30.01.2021 N 89)</w:t>
            </w:r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6" w:name="P958"/>
      <w:bookmarkEnd w:id="6"/>
      <w:r>
        <w:t xml:space="preserve">&lt;1&gt; Категории транспортных средств соответствуют классификации, установленной в </w:t>
      </w:r>
      <w:hyperlink r:id="rId85" w:history="1">
        <w:r>
          <w:rPr>
            <w:color w:val="0000FF"/>
          </w:rPr>
          <w:t>подпункте 1.1</w:t>
        </w:r>
      </w:hyperlink>
      <w:r>
        <w:t xml:space="preserve"> приложения N 1 к </w:t>
      </w:r>
      <w:proofErr w:type="gramStart"/>
      <w:r>
        <w:t>ТР</w:t>
      </w:r>
      <w:proofErr w:type="gramEnd"/>
      <w:r>
        <w:t xml:space="preserve"> ТС 018/2011.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7" w:name="P959"/>
      <w:bookmarkEnd w:id="7"/>
      <w:r>
        <w:t xml:space="preserve">&lt;2&gt; Требование, предусмотренное настоящим пунктом, не препятствует установке световых приборов в целях устранения несоответствия другим требованиям к внешним световым приборам. На транспортных средствах, снятых с производства, допускается замена внешних световых приборов на такие приборы, используемые на транспортных средствах других типов, при условии соблюдения требований </w:t>
      </w:r>
      <w:hyperlink r:id="rId86" w:history="1">
        <w:proofErr w:type="gramStart"/>
        <w:r>
          <w:rPr>
            <w:color w:val="0000FF"/>
          </w:rPr>
          <w:t>ТР</w:t>
        </w:r>
        <w:proofErr w:type="gramEnd"/>
        <w:r>
          <w:rPr>
            <w:color w:val="0000FF"/>
          </w:rPr>
          <w:t xml:space="preserve"> ТС 018/2011</w:t>
        </w:r>
      </w:hyperlink>
      <w:r>
        <w:t>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8" w:name="P960"/>
      <w:bookmarkEnd w:id="8"/>
      <w:proofErr w:type="gramStart"/>
      <w:r>
        <w:t xml:space="preserve">&lt;3&gt; Внесение изменений в конструкцию транспортного средства подтверждается разрешением на внесение изменений в конструкцию находящегося в эксплуатации колесного транспортного средства и протоколом проверки безопасности конструкции транспортного средства после внесенных в нее изменений в соответствии с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2019 г. N 413 "Об утверждении Правил внесения изменений в конструкцию находящихся в эксплуатации колесных транспортных средств и</w:t>
      </w:r>
      <w:proofErr w:type="gramEnd"/>
      <w:r>
        <w:t xml:space="preserve"> осуществления последующей проверки выполнения требований технического регламента Таможенного союза "О безопасности колесных транспортных средств" или наличием соответствующей записи в свидетельстве о регистрации транспортного средства.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9" w:name="P961"/>
      <w:bookmarkEnd w:id="9"/>
      <w:proofErr w:type="gramStart"/>
      <w:r>
        <w:t xml:space="preserve">&lt;4&gt; В случае если транспортное средство подлежит оснащению тахографом в соответствии с требованием законодательства Российской Федерации или контрольным устройством (тахографом) в соответствии с требованиями законодательства Российской Федерации и требованиями Европейского </w:t>
      </w:r>
      <w:hyperlink r:id="rId88" w:history="1">
        <w:r>
          <w:rPr>
            <w:color w:val="0000FF"/>
          </w:rPr>
          <w:t>соглашения</w:t>
        </w:r>
      </w:hyperlink>
      <w:r>
        <w:t>, касающегося работы экипажей транспортных средств, производящих международные автомобильные перевозки (ЕСТР).</w:t>
      </w:r>
      <w:proofErr w:type="gramEnd"/>
    </w:p>
    <w:p w:rsidR="00C4415F" w:rsidRDefault="00C4415F">
      <w:pPr>
        <w:pStyle w:val="ConsPlusNormal"/>
        <w:jc w:val="both"/>
      </w:pPr>
      <w:r>
        <w:t xml:space="preserve">(сноска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30.01.2021 N 89)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Примечание. Символ "X" означает, что требование применяется к транспортному средству соответствующей категории.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Символ </w:t>
      </w:r>
      <w:proofErr w:type="gramStart"/>
      <w:r>
        <w:t>"-</w:t>
      </w:r>
      <w:proofErr w:type="gramEnd"/>
      <w:r>
        <w:t>" означает, что требование не применяется к транспортному средству соответствующей категории.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2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0" w:name="P975"/>
      <w:bookmarkEnd w:id="10"/>
      <w:r>
        <w:t>ПРОДОЛЖИТЕЛЬНОСТЬ</w:t>
      </w:r>
    </w:p>
    <w:p w:rsidR="00C4415F" w:rsidRDefault="00C4415F">
      <w:pPr>
        <w:pStyle w:val="ConsPlusTitle"/>
        <w:jc w:val="center"/>
      </w:pPr>
      <w:r>
        <w:t>ТЕХНИЧЕСКОГО ДИАГНОСТИРОВАНИЯ ТРАНСПОРТНЫХ СРЕДСТВ</w:t>
      </w:r>
    </w:p>
    <w:p w:rsidR="00C4415F" w:rsidRDefault="00C4415F">
      <w:pPr>
        <w:pStyle w:val="ConsPlusTitle"/>
        <w:jc w:val="center"/>
      </w:pPr>
      <w:r>
        <w:t>ОТДЕЛЬНЫХ КАТЕГОРИЙ</w:t>
      </w:r>
    </w:p>
    <w:p w:rsidR="00C4415F" w:rsidRDefault="00C4415F">
      <w:pPr>
        <w:pStyle w:val="ConsPlusNormal"/>
        <w:jc w:val="both"/>
      </w:pPr>
    </w:p>
    <w:p w:rsidR="00C4415F" w:rsidRDefault="00C4415F">
      <w:pPr>
        <w:sectPr w:rsid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819"/>
        <w:gridCol w:w="3175"/>
        <w:gridCol w:w="1474"/>
      </w:tblGrid>
      <w:tr w:rsidR="00C4415F">
        <w:tc>
          <w:tcPr>
            <w:tcW w:w="5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Тип транспортного средства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Категория транспортных средств (или категория транспортного средства, на базе которого изготовлено специальное транспортное средство) </w:t>
            </w:r>
            <w:hyperlink w:anchor="P111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 xml:space="preserve">Продолжительность технического диагностирования </w:t>
            </w:r>
            <w:hyperlink w:anchor="P111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используемые для перевозки пассажиров и имеющие, помимо места водителя, не более 8 мест для сидения - легковые автомобили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превышает 5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63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Транспортные средства, предназначенные для </w:t>
            </w:r>
            <w:r>
              <w:lastRenderedPageBreak/>
              <w:t>перевозки грузов, имеющие технически допустимую максимальную массу более 12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не более 0,75 тонны, и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Прицепы, технически допустимая максимальная </w:t>
            </w:r>
            <w:proofErr w:type="gramStart"/>
            <w:r>
              <w:t>масса</w:t>
            </w:r>
            <w:proofErr w:type="gramEnd"/>
            <w:r>
              <w:t xml:space="preserve"> которых свыше 3,5 тонны, но не более 10 тонн, и прицепы, технически допустимая максимальная масса которых более 10 тонн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Мототранспортные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M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фургоны, фургоны, имеющие места для перевозки людей, автоэвакуаторы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34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Специальные транспортные средства оперативных служб, автоэвакуаторы, транспортные средства с грузоподъемными </w:t>
            </w:r>
            <w:r>
              <w:lastRenderedPageBreak/>
              <w:t>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цистерны, цистерны для перевозки и заправки сжиженных углеводородных газов,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служб, автоэвакуаторы, транспортные средства с грузоподъемными устройствами, цистерны, цистерны для перевозки и заправки сжиженных углеводородных газов, фургоны, транспортные средства для перевозки пищевых 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46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оперативных служб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37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Специализированные транспортные средства, </w:t>
            </w:r>
            <w:r>
              <w:lastRenderedPageBreak/>
              <w:t>цистерны для перевозки и заправки нефтепродуктов, транспортные средства - фургоны, имеющие места для перевозки людей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средства, фургоны, имеющие места для перевозки людей,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Специализированные транспортные средства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51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69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для перевозки грузов с использованием прицепа-роспуска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75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Специальные транспортные средства для коммунального хозяйства и содержания дорог, транспортные средства - цистерны для перевозки и заправки нефтепродуктов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42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82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  <w:r>
              <w:rPr>
                <w:vertAlign w:val="subscript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88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1</w:t>
            </w:r>
            <w:r>
              <w:t>, O</w:t>
            </w:r>
            <w:r>
              <w:rPr>
                <w:vertAlign w:val="subscript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30</w:t>
            </w:r>
          </w:p>
        </w:tc>
      </w:tr>
      <w:tr w:rsidR="00C441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Транспортные средства для перевозки опасных грузов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O</w:t>
            </w:r>
            <w:r>
              <w:rPr>
                <w:vertAlign w:val="subscript"/>
              </w:rPr>
              <w:t>3</w:t>
            </w:r>
            <w:r>
              <w:t>, O</w:t>
            </w:r>
            <w:r>
              <w:rPr>
                <w:vertAlign w:val="subscript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  <w:jc w:val="center"/>
            </w:pPr>
            <w:r>
              <w:t>53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1" w:name="P1116"/>
      <w:bookmarkEnd w:id="11"/>
      <w:r>
        <w:t xml:space="preserve">&lt;1&gt; Категории транспортных средств соответствуют классификации, установленной в </w:t>
      </w:r>
      <w:hyperlink r:id="rId90" w:history="1">
        <w:r>
          <w:rPr>
            <w:color w:val="0000FF"/>
          </w:rPr>
          <w:t>приложении N 1</w:t>
        </w:r>
      </w:hyperlink>
      <w:r>
        <w:t xml:space="preserve"> к техническому регламенту Таможенного союза "О безопасности колесных транспортных средств" (</w:t>
      </w:r>
      <w:proofErr w:type="gramStart"/>
      <w:r>
        <w:t>ТР</w:t>
      </w:r>
      <w:proofErr w:type="gramEnd"/>
      <w:r>
        <w:t xml:space="preserve"> ТС 018/2011).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2" w:name="P1117"/>
      <w:bookmarkEnd w:id="12"/>
      <w:r>
        <w:t>&lt;2&gt; Продолжительность указана из расчета проведения технического диагностирования транспортного средства одним техническим экспертом и может быть уменьшена с учетом особенностей организации проведения отдельных технологических операций (характеристик диагностического оборудования и используемого программного обеспечения, количества постов диагностики, количества технических экспертов, проводящих техническое диагностирование нескольких транспортных средств одновременно).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1"/>
      </w:pPr>
      <w:r>
        <w:t>Приложение N 3</w:t>
      </w:r>
    </w:p>
    <w:p w:rsidR="00C4415F" w:rsidRDefault="00C4415F">
      <w:pPr>
        <w:pStyle w:val="ConsPlusNormal"/>
        <w:jc w:val="right"/>
      </w:pPr>
      <w:r>
        <w:t>к Правилам проведения технического</w:t>
      </w:r>
    </w:p>
    <w:p w:rsidR="00C4415F" w:rsidRDefault="00C4415F">
      <w:pPr>
        <w:pStyle w:val="ConsPlusNormal"/>
        <w:jc w:val="right"/>
      </w:pPr>
      <w:r>
        <w:t>осмотра транспортных средств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(форма)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bookmarkStart w:id="13" w:name="P1129"/>
      <w:bookmarkEnd w:id="13"/>
      <w:r>
        <w:lastRenderedPageBreak/>
        <w:t>ДИАГНОСТИЧЕСКАЯ КАРТА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center"/>
      </w:pPr>
      <w:r>
        <w:t>Certificate of periodic technical inspection</w:t>
      </w:r>
    </w:p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</w:t>
            </w:r>
            <w:proofErr w:type="gramStart"/>
            <w:r>
              <w:t>передвижная</w:t>
            </w:r>
            <w:proofErr w:type="gramEnd"/>
            <w:r>
              <w:t xml:space="preserve">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Тахограф или контрольное устройство (тахограф)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расположение фар и сигнальных фонарей в местах,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запоров бортов грузовой платформы и запоров горловин цистерн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аварийного выключателя дверей и сигнала требования остановки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задних и боковых защитных устройств, соответствие их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автоматического замка, ручной и автоматической блокировки седельно-сцепного устройства. Отсутствие видимых повреждений сцепных устройств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работоспособных предохранительных приспособлений у одноосных прицепов (за исключением роспусков) и прицепов, не оборудованных рабочей тормозной системой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трещин остаточной деформации </w:t>
            </w:r>
            <w:r>
              <w:lastRenderedPageBreak/>
              <w:t>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Наличие всех болтов или гаек крепления дисков и ободьев </w:t>
            </w:r>
            <w:r>
              <w:lastRenderedPageBreak/>
              <w:t>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Оборудование прицепов (за исключением одноосных и </w:t>
            </w:r>
            <w:r>
              <w:lastRenderedPageBreak/>
              <w:t>роспусков) исправным устройством, поддерживающим сцепную петлю дышла в положении, облегчающем сцепку и расцепку с тяговым автомобилем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продольного люфта в беззазорных тягово-сцепных устройствах с тяговой вилкой для сцепленного с 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Обеспечение тягово-сцепными устройствами легковых автомобилей беззазорной сцепки сухарей замкового устройства с шаром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подтекания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подтекания рабочей жидкости в гидросистеме </w:t>
            </w:r>
            <w:r>
              <w:lastRenderedPageBreak/>
              <w:t>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надколесных грязезащитных устройств, отвечающих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вертикальной статической нагрузки на тяговое устройство автомобиля от сцепной петли одноосного прицепа (прицепа-роспуска) установленным нормам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Наличие рассеивателей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подъема и опускания опор и фиксаторов транспортного положения опор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Работоспособность и режим </w:t>
            </w:r>
            <w:r>
              <w:lastRenderedPageBreak/>
              <w:t>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Отсутствие трещин на ветровом </w:t>
            </w:r>
            <w:r>
              <w:lastRenderedPageBreak/>
              <w:t>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каплепадения </w:t>
            </w:r>
            <w:r>
              <w:lastRenderedPageBreak/>
              <w:t>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902" w:type="dxa"/>
            <w:vMerge w:val="restart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  <w:vMerge w:val="restart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стекла, противоугонного устройства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изменений в конструкции транспортного 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  <w:vMerge/>
          </w:tcPr>
          <w:p w:rsidR="00C4415F" w:rsidRDefault="00C4415F"/>
        </w:tc>
        <w:tc>
          <w:tcPr>
            <w:tcW w:w="2902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76" w:type="dxa"/>
            <w:vMerge/>
          </w:tcPr>
          <w:p w:rsidR="00C4415F" w:rsidRDefault="00C4415F"/>
        </w:tc>
        <w:tc>
          <w:tcPr>
            <w:tcW w:w="3164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1134"/>
        <w:gridCol w:w="992"/>
        <w:gridCol w:w="4536"/>
        <w:gridCol w:w="3712"/>
      </w:tblGrid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Требования, по которым установлено несоответствие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134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992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0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3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9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763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3712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3712" w:type="dxa"/>
            <w:vMerge/>
          </w:tcPr>
          <w:p w:rsidR="00C4415F" w:rsidRDefault="00C4415F"/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23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5528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3712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475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990"/>
        <w:gridCol w:w="340"/>
        <w:gridCol w:w="2682"/>
        <w:gridCol w:w="340"/>
        <w:gridCol w:w="2700"/>
        <w:gridCol w:w="340"/>
      </w:tblGrid>
      <w:tr w:rsidR="00C4415F">
        <w:tc>
          <w:tcPr>
            <w:tcW w:w="11465" w:type="dxa"/>
            <w:gridSpan w:val="7"/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топлива: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392" w:type="dxa"/>
            <w:gridSpan w:val="6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blPrEx>
          <w:tblBorders>
            <w:insideV w:val="nil"/>
          </w:tblBorders>
        </w:tblPrEx>
        <w:tc>
          <w:tcPr>
            <w:tcW w:w="50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транспортного средства обязательным требованиям безопасности транспортных средств (подтверждающее или не подтверждающее его допуск к участию в дорожном движении);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700" w:type="dxa"/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063" w:type="dxa"/>
            <w:gridSpan w:val="2"/>
            <w:vMerge/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r>
              <w:t>Passed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r>
              <w:t>Failed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  <w:insideV w:val="nil"/>
          </w:tblBorders>
        </w:tblPrEx>
        <w:tc>
          <w:tcPr>
            <w:tcW w:w="50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68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7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4260"/>
      </w:tblGrid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426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  <w:tr w:rsidR="00C4415F">
        <w:tc>
          <w:tcPr>
            <w:tcW w:w="720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26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6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628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508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r>
              <w:t>Signature</w:t>
            </w:r>
          </w:p>
        </w:tc>
        <w:tc>
          <w:tcPr>
            <w:tcW w:w="8278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t xml:space="preserve">Печать </w:t>
            </w:r>
            <w:hyperlink w:anchor="P1576" w:history="1">
              <w:r>
                <w:rPr>
                  <w:color w:val="0000FF"/>
                </w:rPr>
                <w:t>&lt;*&gt;</w:t>
              </w:r>
            </w:hyperlink>
          </w:p>
          <w:p w:rsidR="00C4415F" w:rsidRDefault="00C4415F">
            <w:pPr>
              <w:pStyle w:val="ConsPlusNormal"/>
              <w:jc w:val="both"/>
            </w:pPr>
            <w:r>
              <w:t>Stamp</w:t>
            </w:r>
          </w:p>
        </w:tc>
      </w:tr>
    </w:tbl>
    <w:p w:rsidR="00C4415F" w:rsidRDefault="00C4415F">
      <w:pPr>
        <w:sectPr w:rsidR="00C441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bookmarkStart w:id="14" w:name="P1576"/>
      <w:bookmarkEnd w:id="14"/>
      <w:r>
        <w:t>&lt;*&gt; Печать оператора технического осмотра проставляется в случае выдачи диагностической карты на бумажном носителе.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  <w:outlineLvl w:val="0"/>
      </w:pPr>
      <w:r>
        <w:t>Утверждены</w:t>
      </w:r>
    </w:p>
    <w:p w:rsidR="00C4415F" w:rsidRDefault="00C4415F">
      <w:pPr>
        <w:pStyle w:val="ConsPlusNormal"/>
        <w:jc w:val="right"/>
      </w:pPr>
      <w:r>
        <w:t>постановлением Правительства</w:t>
      </w:r>
    </w:p>
    <w:p w:rsidR="00C4415F" w:rsidRDefault="00C4415F">
      <w:pPr>
        <w:pStyle w:val="ConsPlusNormal"/>
        <w:jc w:val="right"/>
      </w:pPr>
      <w:r>
        <w:t>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Title"/>
        <w:jc w:val="center"/>
      </w:pPr>
      <w:bookmarkStart w:id="15" w:name="P1587"/>
      <w:bookmarkEnd w:id="15"/>
      <w:r>
        <w:t>ИЗМЕНЕНИЯ,</w:t>
      </w:r>
    </w:p>
    <w:p w:rsidR="00C4415F" w:rsidRDefault="00C4415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C4415F" w:rsidRDefault="00C441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26.10.2020 N 1742)</w:t>
            </w: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1. Утратил силу.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РФ от 26.10.2020 N 1742.</w:t>
      </w:r>
    </w:p>
    <w:p w:rsidR="00C4415F" w:rsidRDefault="00C441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41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4415F" w:rsidRDefault="00C4415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01.03.2021.</w:t>
            </w:r>
          </w:p>
        </w:tc>
      </w:tr>
    </w:tbl>
    <w:p w:rsidR="00C4415F" w:rsidRDefault="00C4415F">
      <w:pPr>
        <w:pStyle w:val="ConsPlusNormal"/>
        <w:spacing w:before="280"/>
        <w:ind w:firstLine="540"/>
        <w:jc w:val="both"/>
      </w:pPr>
      <w:bookmarkStart w:id="16" w:name="P1595"/>
      <w:bookmarkEnd w:id="16"/>
      <w:r>
        <w:t xml:space="preserve">2. </w:t>
      </w:r>
      <w:proofErr w:type="gramStart"/>
      <w:r>
        <w:t xml:space="preserve">В </w:t>
      </w:r>
      <w:hyperlink r:id="rId93" w:history="1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17 апреля 2013 г. N 348 "О техническом осмотре транспортных средств органов, осуществляющих оперативно-разыскную деятельность" (Собрание законодательства Российской Федерации, 2013, N 16, ст. 1975)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1008" заменить словами "Правилами проведения технического осмотра транспортных средств, утвержденными</w:t>
      </w:r>
      <w:proofErr w:type="gramEnd"/>
      <w:r>
        <w:t xml:space="preserve">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</w:t>
      </w:r>
      <w:hyperlink r:id="rId94" w:history="1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proofErr w:type="gramStart"/>
      <w:r>
        <w:t xml:space="preserve">а) в </w:t>
      </w:r>
      <w:hyperlink r:id="rId95" w:history="1">
        <w:r>
          <w:rPr>
            <w:color w:val="0000FF"/>
          </w:rPr>
          <w:t>пункте 4</w:t>
        </w:r>
      </w:hyperlink>
      <w:r>
        <w:t xml:space="preserve"> слова "Правилами проведения технического осмотра транспортных средств, утвержденными постановлением Правительства Российской Федерации от 5 декабря 2011 г. N 1008 "О проведении технического осмотра транспортных средств" заменить словами "Правилами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</w:t>
      </w:r>
      <w:proofErr w:type="gramEnd"/>
      <w:r>
        <w:t xml:space="preserve"> </w:t>
      </w:r>
      <w:proofErr w:type="gramStart"/>
      <w:r>
        <w:t>внесении</w:t>
      </w:r>
      <w:proofErr w:type="gramEnd"/>
      <w:r>
        <w:t xml:space="preserve"> изменений в некоторые акты Правительства Российской Федерации";</w:t>
      </w:r>
    </w:p>
    <w:p w:rsidR="00C4415F" w:rsidRDefault="00C4415F">
      <w:pPr>
        <w:pStyle w:val="ConsPlusNormal"/>
        <w:spacing w:before="220"/>
        <w:ind w:firstLine="540"/>
        <w:jc w:val="both"/>
      </w:pPr>
      <w:r>
        <w:t xml:space="preserve">б) </w:t>
      </w:r>
      <w:hyperlink r:id="rId96" w:history="1">
        <w:r>
          <w:rPr>
            <w:color w:val="0000FF"/>
          </w:rPr>
          <w:t>приложение</w:t>
        </w:r>
      </w:hyperlink>
      <w:r>
        <w:t xml:space="preserve"> изложить в следующей редакции:</w:t>
      </w: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right"/>
      </w:pPr>
      <w:r>
        <w:t>"Приложение</w:t>
      </w:r>
    </w:p>
    <w:p w:rsidR="00C4415F" w:rsidRDefault="00C4415F">
      <w:pPr>
        <w:pStyle w:val="ConsPlusNormal"/>
        <w:jc w:val="right"/>
      </w:pPr>
      <w:r>
        <w:lastRenderedPageBreak/>
        <w:t>к Правилам организации и проведения</w:t>
      </w:r>
    </w:p>
    <w:p w:rsidR="00C4415F" w:rsidRDefault="00C4415F">
      <w:pPr>
        <w:pStyle w:val="ConsPlusNormal"/>
        <w:jc w:val="right"/>
      </w:pPr>
      <w:r>
        <w:t>технического осмотра автобусов</w:t>
      </w:r>
    </w:p>
    <w:p w:rsidR="00C4415F" w:rsidRDefault="00C4415F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C4415F" w:rsidRDefault="00C4415F">
      <w:pPr>
        <w:pStyle w:val="ConsPlusNormal"/>
        <w:jc w:val="right"/>
      </w:pPr>
      <w:r>
        <w:t>Правительства Российской Федерации</w:t>
      </w:r>
    </w:p>
    <w:p w:rsidR="00C4415F" w:rsidRDefault="00C4415F">
      <w:pPr>
        <w:pStyle w:val="ConsPlusNormal"/>
        <w:jc w:val="right"/>
      </w:pPr>
      <w:r>
        <w:t>от 15 сентября 2020 г. N 1434)</w:t>
      </w:r>
    </w:p>
    <w:p w:rsidR="00C4415F" w:rsidRDefault="00C4415F">
      <w:pPr>
        <w:pStyle w:val="ConsPlusNormal"/>
        <w:jc w:val="both"/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>
        <w:t>Диагностическая</w:t>
      </w:r>
      <w:r w:rsidRPr="00C4415F">
        <w:rPr>
          <w:lang w:val="en-US"/>
        </w:rPr>
        <w:t xml:space="preserve"> </w:t>
      </w:r>
      <w:r>
        <w:t>карта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pStyle w:val="ConsPlusNormal"/>
        <w:jc w:val="center"/>
        <w:rPr>
          <w:lang w:val="en-US"/>
        </w:rPr>
      </w:pPr>
      <w:r w:rsidRPr="00C4415F">
        <w:rPr>
          <w:lang w:val="en-US"/>
        </w:rPr>
        <w:t>Certificate of periodic technical inspection</w:t>
      </w:r>
    </w:p>
    <w:p w:rsidR="00C4415F" w:rsidRPr="00C4415F" w:rsidRDefault="00C4415F">
      <w:pPr>
        <w:pStyle w:val="ConsPlusNormal"/>
        <w:jc w:val="both"/>
        <w:rPr>
          <w:lang w:val="en-US"/>
        </w:rPr>
      </w:pPr>
    </w:p>
    <w:p w:rsidR="00C4415F" w:rsidRPr="00C4415F" w:rsidRDefault="00C4415F">
      <w:pPr>
        <w:rPr>
          <w:lang w:val="en-US"/>
        </w:rPr>
        <w:sectPr w:rsidR="00C4415F" w:rsidRPr="00C4415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0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053"/>
      </w:tblGrid>
      <w:tr w:rsidR="00C4415F">
        <w:tc>
          <w:tcPr>
            <w:tcW w:w="6347" w:type="dxa"/>
            <w:gridSpan w:val="17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lastRenderedPageBreak/>
              <w:t>Регистрационный номер</w:t>
            </w:r>
          </w:p>
        </w:tc>
        <w:tc>
          <w:tcPr>
            <w:tcW w:w="5113" w:type="dxa"/>
            <w:gridSpan w:val="10"/>
            <w:tcBorders>
              <w:bottom w:val="nil"/>
            </w:tcBorders>
          </w:tcPr>
          <w:p w:rsidR="00C4415F" w:rsidRDefault="00C4415F">
            <w:pPr>
              <w:pStyle w:val="ConsPlusNormal"/>
            </w:pPr>
            <w:r>
              <w:t xml:space="preserve">Срок действия </w:t>
            </w:r>
            <w:proofErr w:type="gramStart"/>
            <w:r>
              <w:t>до</w:t>
            </w:r>
            <w:proofErr w:type="gramEnd"/>
          </w:p>
        </w:tc>
      </w:tr>
      <w:tr w:rsidR="00C4415F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053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347" w:type="dxa"/>
            <w:gridSpan w:val="17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5113" w:type="dxa"/>
            <w:gridSpan w:val="10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1"/>
        <w:gridCol w:w="899"/>
        <w:gridCol w:w="340"/>
        <w:gridCol w:w="3830"/>
        <w:gridCol w:w="3252"/>
        <w:gridCol w:w="340"/>
        <w:gridCol w:w="1103"/>
      </w:tblGrid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Оператор технического осмотра: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Пункт технического осмотра (</w:t>
            </w:r>
            <w:proofErr w:type="gramStart"/>
            <w:r>
              <w:t>передвижная</w:t>
            </w:r>
            <w:proofErr w:type="gramEnd"/>
            <w:r>
              <w:t xml:space="preserve"> диагностическая линия):</w:t>
            </w:r>
          </w:p>
        </w:tc>
      </w:tr>
      <w:tr w:rsidR="00C4415F">
        <w:tc>
          <w:tcPr>
            <w:tcW w:w="2580" w:type="dxa"/>
            <w:gridSpan w:val="2"/>
          </w:tcPr>
          <w:p w:rsidR="00C4415F" w:rsidRDefault="00C4415F">
            <w:pPr>
              <w:pStyle w:val="ConsPlusNormal"/>
            </w:pPr>
            <w:r>
              <w:t>Первичная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3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252" w:type="dxa"/>
          </w:tcPr>
          <w:p w:rsidR="00C4415F" w:rsidRDefault="00C4415F">
            <w:pPr>
              <w:pStyle w:val="ConsPlusNormal"/>
            </w:pPr>
            <w:r>
              <w:t>Повторная проверка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103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6750" w:type="dxa"/>
            <w:gridSpan w:val="4"/>
          </w:tcPr>
          <w:p w:rsidR="00C4415F" w:rsidRDefault="00C4415F">
            <w:pPr>
              <w:pStyle w:val="ConsPlusNormal"/>
            </w:pPr>
            <w:r>
              <w:t>Регистрационный знак ТС:</w:t>
            </w:r>
          </w:p>
        </w:tc>
        <w:tc>
          <w:tcPr>
            <w:tcW w:w="4695" w:type="dxa"/>
            <w:gridSpan w:val="3"/>
            <w:vMerge w:val="restart"/>
          </w:tcPr>
          <w:p w:rsidR="00C4415F" w:rsidRDefault="00C4415F">
            <w:pPr>
              <w:pStyle w:val="ConsPlusNormal"/>
            </w:pPr>
            <w:r>
              <w:t>Марка, модель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VIN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  <w:vMerge/>
          </w:tcPr>
          <w:p w:rsidR="00C4415F" w:rsidRDefault="00C4415F"/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рамы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Категория ТС:</w:t>
            </w:r>
          </w:p>
        </w:tc>
      </w:tr>
      <w:tr w:rsidR="00C4415F">
        <w:tc>
          <w:tcPr>
            <w:tcW w:w="1681" w:type="dxa"/>
          </w:tcPr>
          <w:p w:rsidR="00C4415F" w:rsidRDefault="00C4415F">
            <w:pPr>
              <w:pStyle w:val="ConsPlusNormal"/>
            </w:pPr>
            <w:r>
              <w:t>Номер кузова</w:t>
            </w:r>
          </w:p>
        </w:tc>
        <w:tc>
          <w:tcPr>
            <w:tcW w:w="5069" w:type="dxa"/>
            <w:gridSpan w:val="3"/>
          </w:tcPr>
          <w:p w:rsidR="00C4415F" w:rsidRDefault="00C4415F">
            <w:pPr>
              <w:pStyle w:val="ConsPlusNormal"/>
            </w:pPr>
          </w:p>
        </w:tc>
        <w:tc>
          <w:tcPr>
            <w:tcW w:w="4695" w:type="dxa"/>
            <w:gridSpan w:val="3"/>
          </w:tcPr>
          <w:p w:rsidR="00C4415F" w:rsidRDefault="00C4415F">
            <w:pPr>
              <w:pStyle w:val="ConsPlusNormal"/>
            </w:pPr>
            <w:r>
              <w:t>Год выпуска ТС: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СРТС или ПТС (ЭПТС) (серия, номер, выдан (оформлен) кем, когда):</w:t>
            </w:r>
          </w:p>
        </w:tc>
      </w:tr>
      <w:tr w:rsidR="00C4415F">
        <w:tc>
          <w:tcPr>
            <w:tcW w:w="11445" w:type="dxa"/>
            <w:gridSpan w:val="7"/>
          </w:tcPr>
          <w:p w:rsidR="00C4415F" w:rsidRDefault="00C4415F">
            <w:pPr>
              <w:pStyle w:val="ConsPlusNormal"/>
            </w:pPr>
            <w:r>
              <w:t>Тахограф или контрольное устройство (тахограф) (марка, модель, серийный номер):</w:t>
            </w: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2902"/>
        <w:gridCol w:w="340"/>
        <w:gridCol w:w="476"/>
        <w:gridCol w:w="3164"/>
        <w:gridCol w:w="340"/>
        <w:gridCol w:w="461"/>
        <w:gridCol w:w="3015"/>
        <w:gridCol w:w="340"/>
      </w:tblGrid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N &lt;* &gt;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N &lt;*&gt;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  <w:jc w:val="center"/>
            </w:pPr>
            <w:r>
              <w:t>Обязательные требования безопасности, предъявляемые к транспортным средствам при проведении технического осмотра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I. Тормозные системы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 xml:space="preserve">Наличие и расположение фар и сигнальных фонарей в местах, предусмотренных </w:t>
            </w:r>
            <w:r>
              <w:lastRenderedPageBreak/>
              <w:t>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015" w:type="dxa"/>
            <w:vMerge w:val="restart"/>
          </w:tcPr>
          <w:p w:rsidR="00C4415F" w:rsidRDefault="00C4415F">
            <w:pPr>
              <w:pStyle w:val="ConsPlusNormal"/>
            </w:pPr>
            <w:r>
              <w:t xml:space="preserve">Работоспособность аварийного выключателя дверей и сигнала требования </w:t>
            </w:r>
            <w:r>
              <w:lastRenderedPageBreak/>
              <w:t>остановки</w:t>
            </w:r>
          </w:p>
        </w:tc>
        <w:tc>
          <w:tcPr>
            <w:tcW w:w="34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  <w:vMerge/>
          </w:tcPr>
          <w:p w:rsidR="00C4415F" w:rsidRDefault="00C4415F"/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источника света в фарах, формы, цвета и размера фар. Наличие светоотражающей контурной маркировки, отсутствие ее повреждения и отслоения.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  <w:vMerge/>
          </w:tcPr>
          <w:p w:rsidR="00C4415F" w:rsidRDefault="00C4415F"/>
        </w:tc>
        <w:tc>
          <w:tcPr>
            <w:tcW w:w="3015" w:type="dxa"/>
            <w:vMerge/>
          </w:tcPr>
          <w:p w:rsidR="00C4415F" w:rsidRDefault="00C4415F"/>
        </w:tc>
        <w:tc>
          <w:tcPr>
            <w:tcW w:w="340" w:type="dxa"/>
            <w:vMerge/>
          </w:tcPr>
          <w:p w:rsidR="00C4415F" w:rsidRDefault="00C4415F"/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показателей эффективности торможения и устойчивости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IV. Стеклоочистители и стеклоомыватели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аварийных выходов, приборов внутреннего освещения салона, привода управления дверями и сигнализации их работы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разности тормозных сил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и работоспособность предусмотренных изготовителем транспортного средства стеклоочистителей и стеклоомывателей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звукового сигнального прибора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рабочей тормозной системы автопоездов с пневматическим тормозным приводом в режиме аварийного (автоматического)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Обеспечение стеклоомывателем подачи жидкости в зоны очистки стекла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обозначений аварийных выходов и табличек по правилам их использования. Обеспечение свободного доступа к аварийным выходам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утечек сжатого воздуха из колесных тормозных камер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продольного люфта в беззазорных тягово-сцепных устройствах с тяговой вилкой для сцепленного с </w:t>
            </w:r>
            <w:r>
              <w:lastRenderedPageBreak/>
              <w:t>прицепом тягача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подтеканий тормозной жидкости, нарушения герметичности трубопроводов или соединений в гидравлическом тормозном приводе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V. Шины и колеса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размерных характеристик сцепных устройств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коррозии, грозящей потерей герметичности или разрушением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остаточной глубины рисунка протектора шин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Оснащение транспортных средств исправными ремнями безопасности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механических повреждений тормозных трубопроводов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  <w:jc w:val="both"/>
            </w:pPr>
            <w:r>
              <w:t>Отсутствие признаков непригодности шин к эксплуатации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знака аварийной остановки и медицинской аптечки (медицинских аптечек)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трещин остаточной деформации деталей тормозного привода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всех болтов или гаек крепления дисков и ободьев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не менее 2 противооткатных упоров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Исправность средств сигнализации и контроля тормозных систем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дисках и ободьях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огнетушителей, соответствующих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набухания тормозных шлангов под давлением, трещин и видимых мест перетирания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видимых нарушений формы и размеров крепежных отверстий в дисках колес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Надежное крепление поручней в автобусах, запасного колеса, аккумуляторной батареи, сидений, огнетушителей и медицинской аптечки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Расположение и длина соединительных шлангов пневматического тормозного привода автопоездов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Установка шин на транспортное средство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механизмов регулировки сидений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II. Рулевое управление</w:t>
            </w: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VI. Двигатель и его системы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усилителя рулевого управления. Плавность изменения усилия при повороте рулевого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содержания загрязняющих веществ в отработавших газах транспортных средств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держателя запасного колеса, лебедки и механизма подъема-опускания запасного колеса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самопроизвольного поворота рулевого колеса с усилителем рулевого управления от нейтрального положения при работающем двигателе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подтекания и каплепадения топлива в системе питания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Отсутствие каплепадения масел и рабочих жидкостей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превышения предельных значений суммарного люфта в рулевом управлении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запорных устройств и устройств перекрытия топлива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Установка государственных регистрационных знаков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повреждения и полная комплектность деталей крепления рулевой колонки и картера рулевого механизма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системы питания газобаллонных транспортных средств, ее размещения и установки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Работоспособность устройства или системы вызова экстренных оперативных служб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 xml:space="preserve">Отсутствие следов остаточной деформации, </w:t>
            </w:r>
            <w:r>
              <w:lastRenderedPageBreak/>
              <w:t>трещин и других дефектов в рулевом механизме и рулевом приводе. Наличие и работоспособность предусмотренного изготовителем транспортного средства рулевого демпфера и (или) усилителя рулевого управления. Отсутствие подтекания рабочей жидкости в гидросистеме усилителя рулевого управления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нормам уровня шума выпускной системы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 xml:space="preserve">Отсутствие изменений в конструкции транспортного </w:t>
            </w:r>
            <w:r>
              <w:lastRenderedPageBreak/>
              <w:t>средства, внесенных в нарушение установленных требований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Отсутствие устройств, ограничивающих поворот рулевого колеса, не предусмотренных конструкцией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980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VII. Прочие элементы конструкции</w:t>
            </w: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Соответствие транспортного средства установленным дополнительным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3683" w:type="dxa"/>
            <w:gridSpan w:val="3"/>
          </w:tcPr>
          <w:p w:rsidR="00C4415F" w:rsidRDefault="00C4415F">
            <w:pPr>
              <w:pStyle w:val="ConsPlusNormal"/>
              <w:jc w:val="center"/>
            </w:pPr>
            <w:r>
              <w:t>III. Внешние световые приборы</w:t>
            </w: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Наличие зеркал заднего вида в соответствии с установленными требованиями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61" w:type="dxa"/>
          </w:tcPr>
          <w:p w:rsidR="00C4415F" w:rsidRDefault="00C4415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015" w:type="dxa"/>
          </w:tcPr>
          <w:p w:rsidR="00C4415F" w:rsidRDefault="00C4415F">
            <w:pPr>
              <w:pStyle w:val="ConsPlusNormal"/>
            </w:pPr>
            <w:r>
              <w:t>Наличие работоспособного тахографа или работоспособного контрольного устройства (тахографа)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устройств освещения и световой сигнализации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дополнительных предметов или покрытий, ограничивающих обзорность с места водителя. Соответствие полосы пленки в верхней части ветрового стекла установленным требованиям</w:t>
            </w:r>
          </w:p>
        </w:tc>
        <w:tc>
          <w:tcPr>
            <w:tcW w:w="340" w:type="dxa"/>
            <w:tcBorders>
              <w:bottom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 w:val="restart"/>
            <w:tcBorders>
              <w:bottom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Наличие рассеивателей внешних световых приборов, отсутствие их разрушения и загрязнения. Отсутствие не предусмотренных конструкцией светового прибора оптических элементов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Соответствие норме светопропускания ветрового стекла, передних боковых стекол и стекол передних дверей</w:t>
            </w:r>
          </w:p>
        </w:tc>
        <w:tc>
          <w:tcPr>
            <w:tcW w:w="340" w:type="dxa"/>
            <w:tcBorders>
              <w:top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Работоспособность и режим работы сигналов торможения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Отсутствие трещин на ветровом стекле в зоне очистки водительского стеклоочистителя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  <w:tr w:rsidR="00C4415F">
        <w:tblPrEx>
          <w:tblBorders>
            <w:right w:val="nil"/>
          </w:tblBorders>
        </w:tblPrEx>
        <w:tc>
          <w:tcPr>
            <w:tcW w:w="441" w:type="dxa"/>
          </w:tcPr>
          <w:p w:rsidR="00C4415F" w:rsidRDefault="00C4415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02" w:type="dxa"/>
          </w:tcPr>
          <w:p w:rsidR="00C4415F" w:rsidRDefault="00C4415F">
            <w:pPr>
              <w:pStyle w:val="ConsPlusNormal"/>
            </w:pPr>
            <w:r>
              <w:t>Соответствие углов регулировки и силы света фар установленным требованиям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76" w:type="dxa"/>
          </w:tcPr>
          <w:p w:rsidR="00C4415F" w:rsidRDefault="00C4415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64" w:type="dxa"/>
          </w:tcPr>
          <w:p w:rsidR="00C4415F" w:rsidRDefault="00C4415F">
            <w:pPr>
              <w:pStyle w:val="ConsPlusNormal"/>
            </w:pPr>
            <w:r>
              <w:t>Работоспособность замков дверей кузова, кабины, механизмов регулировки и фиксирующих устройств сидений, устройства обогрева и обдува ветрового стекла противоугонного устройства</w:t>
            </w: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816" w:type="dxa"/>
            <w:gridSpan w:val="3"/>
            <w:vMerge/>
            <w:tcBorders>
              <w:bottom w:val="nil"/>
              <w:right w:val="nil"/>
            </w:tcBorders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5"/>
        <w:gridCol w:w="1380"/>
        <w:gridCol w:w="1545"/>
        <w:gridCol w:w="4536"/>
        <w:gridCol w:w="2424"/>
      </w:tblGrid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  <w:jc w:val="center"/>
            </w:pPr>
            <w:r>
              <w:t>Результаты диагностирования</w:t>
            </w:r>
          </w:p>
        </w:tc>
      </w:tr>
      <w:tr w:rsidR="00C4415F">
        <w:tc>
          <w:tcPr>
            <w:tcW w:w="8856" w:type="dxa"/>
            <w:gridSpan w:val="4"/>
          </w:tcPr>
          <w:p w:rsidR="00C4415F" w:rsidRDefault="00C4415F">
            <w:pPr>
              <w:pStyle w:val="ConsPlusNormal"/>
              <w:jc w:val="center"/>
            </w:pPr>
            <w:r>
              <w:t>Требования, по которым установлено несоответствие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  <w:jc w:val="center"/>
            </w:pPr>
            <w:r>
              <w:t>Пункт диагностической карты</w:t>
            </w: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  <w:jc w:val="center"/>
            </w:pPr>
            <w:r>
              <w:t>Нижняя граница</w:t>
            </w:r>
          </w:p>
        </w:tc>
        <w:tc>
          <w:tcPr>
            <w:tcW w:w="1380" w:type="dxa"/>
          </w:tcPr>
          <w:p w:rsidR="00C4415F" w:rsidRDefault="00C4415F">
            <w:pPr>
              <w:pStyle w:val="ConsPlusNormal"/>
              <w:jc w:val="center"/>
            </w:pPr>
            <w:r>
              <w:t>Результат проверки</w:t>
            </w:r>
          </w:p>
        </w:tc>
        <w:tc>
          <w:tcPr>
            <w:tcW w:w="1545" w:type="dxa"/>
          </w:tcPr>
          <w:p w:rsidR="00C4415F" w:rsidRDefault="00C4415F">
            <w:pPr>
              <w:pStyle w:val="ConsPlusNormal"/>
              <w:jc w:val="center"/>
            </w:pPr>
            <w:r>
              <w:t>Верхняя граница</w:t>
            </w:r>
          </w:p>
        </w:tc>
        <w:tc>
          <w:tcPr>
            <w:tcW w:w="4536" w:type="dxa"/>
          </w:tcPr>
          <w:p w:rsidR="00C4415F" w:rsidRDefault="00C4415F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39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38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154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4536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856" w:type="dxa"/>
            <w:gridSpan w:val="4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Невыполненные требования</w:t>
            </w:r>
          </w:p>
        </w:tc>
        <w:tc>
          <w:tcPr>
            <w:tcW w:w="2424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Предмет проверки (узел, деталь, агрегат)</w:t>
            </w:r>
          </w:p>
        </w:tc>
        <w:tc>
          <w:tcPr>
            <w:tcW w:w="6081" w:type="dxa"/>
            <w:gridSpan w:val="2"/>
            <w:vAlign w:val="bottom"/>
          </w:tcPr>
          <w:p w:rsidR="00C4415F" w:rsidRDefault="00C4415F">
            <w:pPr>
              <w:pStyle w:val="ConsPlusNormal"/>
              <w:jc w:val="center"/>
            </w:pPr>
            <w:r>
              <w:t>Содержание невыполненного требования (с указанием нормативного источника)</w:t>
            </w:r>
          </w:p>
        </w:tc>
        <w:tc>
          <w:tcPr>
            <w:tcW w:w="2424" w:type="dxa"/>
            <w:vMerge/>
          </w:tcPr>
          <w:p w:rsidR="00C4415F" w:rsidRDefault="00C4415F"/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2775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6081" w:type="dxa"/>
            <w:gridSpan w:val="2"/>
          </w:tcPr>
          <w:p w:rsidR="00C4415F" w:rsidRDefault="00C4415F">
            <w:pPr>
              <w:pStyle w:val="ConsPlusNormal"/>
            </w:pPr>
          </w:p>
        </w:tc>
        <w:tc>
          <w:tcPr>
            <w:tcW w:w="2424" w:type="dxa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80" w:type="dxa"/>
            <w:gridSpan w:val="5"/>
            <w:vAlign w:val="bottom"/>
          </w:tcPr>
          <w:p w:rsidR="00C4415F" w:rsidRDefault="00C4415F">
            <w:pPr>
              <w:pStyle w:val="ConsPlusNormal"/>
            </w:pPr>
            <w:r>
              <w:t>Примечания:</w:t>
            </w:r>
          </w:p>
        </w:tc>
      </w:tr>
      <w:tr w:rsidR="00C4415F">
        <w:tc>
          <w:tcPr>
            <w:tcW w:w="11280" w:type="dxa"/>
            <w:gridSpan w:val="5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3"/>
        <w:gridCol w:w="1462"/>
        <w:gridCol w:w="340"/>
        <w:gridCol w:w="2450"/>
        <w:gridCol w:w="2265"/>
        <w:gridCol w:w="680"/>
      </w:tblGrid>
      <w:tr w:rsidR="00C4415F">
        <w:tc>
          <w:tcPr>
            <w:tcW w:w="112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4415F" w:rsidRDefault="00C4415F">
            <w:pPr>
              <w:pStyle w:val="ConsPlusNormal"/>
              <w:jc w:val="center"/>
            </w:pPr>
            <w:r>
              <w:t>Данные транспортного средства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Масса без нагрузки: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Разрешенная максимальная масса: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lastRenderedPageBreak/>
              <w:t>Тип топлива: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Пробег ТС: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Тип тормозной системы: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Марка шин:</w:t>
            </w:r>
          </w:p>
        </w:tc>
      </w:tr>
      <w:tr w:rsidR="00C4415F">
        <w:tblPrEx>
          <w:tblBorders>
            <w:insideV w:val="single" w:sz="4" w:space="0" w:color="auto"/>
          </w:tblBorders>
        </w:tblPrEx>
        <w:tc>
          <w:tcPr>
            <w:tcW w:w="4073" w:type="dxa"/>
          </w:tcPr>
          <w:p w:rsidR="00C4415F" w:rsidRDefault="00C4415F">
            <w:pPr>
              <w:pStyle w:val="ConsPlusNormal"/>
            </w:pPr>
            <w:r>
              <w:t>Сведения о газовом баллоне (газовых баллонах)</w:t>
            </w:r>
          </w:p>
          <w:p w:rsidR="00C4415F" w:rsidRDefault="00C4415F">
            <w:pPr>
              <w:pStyle w:val="ConsPlusNormal"/>
            </w:pPr>
            <w:r>
              <w:t>(год выпуска, серийный номер, даты последнего и очередного освидетельствования каждого газового баллона):</w:t>
            </w:r>
          </w:p>
        </w:tc>
        <w:tc>
          <w:tcPr>
            <w:tcW w:w="7197" w:type="dxa"/>
            <w:gridSpan w:val="5"/>
          </w:tcPr>
          <w:p w:rsidR="00C4415F" w:rsidRDefault="00C4415F">
            <w:pPr>
              <w:pStyle w:val="ConsPlusNormal"/>
            </w:pPr>
            <w:r>
              <w:t>Сведения по газобаллонному оборудованию</w:t>
            </w:r>
          </w:p>
          <w:p w:rsidR="00C4415F" w:rsidRDefault="00C4415F">
            <w:pPr>
              <w:pStyle w:val="ConsPlusNormal"/>
            </w:pPr>
            <w:r>
              <w:t>(номер свидетельства о проведении периодических испытаний газобаллонного оборудования и дата его очередного освидетельствования):</w:t>
            </w:r>
          </w:p>
        </w:tc>
      </w:tr>
      <w:tr w:rsidR="00C4415F" w:rsidRPr="00C4415F">
        <w:tc>
          <w:tcPr>
            <w:tcW w:w="5535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4415F" w:rsidRDefault="00C4415F">
            <w:pPr>
              <w:pStyle w:val="ConsPlusNormal"/>
            </w:pPr>
            <w:r>
              <w:t>Заключение о соответствии или несоответствии автобуса обязательным требованиям безопасности транспортных средств (подтверждающее или не подтверждающее его допуск к участию в дорожном движении)</w:t>
            </w:r>
          </w:p>
          <w:p w:rsidR="00C4415F" w:rsidRPr="00C4415F" w:rsidRDefault="00C4415F">
            <w:pPr>
              <w:pStyle w:val="ConsPlusNormal"/>
              <w:rPr>
                <w:lang w:val="en-US"/>
              </w:rPr>
            </w:pPr>
            <w:r w:rsidRPr="00C4415F">
              <w:rPr>
                <w:lang w:val="en-US"/>
              </w:rPr>
              <w:t>Results of the roadworthiness inspection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4" w:space="0" w:color="auto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</w:tr>
      <w:tr w:rsidR="00C4415F">
        <w:tblPrEx>
          <w:tblBorders>
            <w:insideH w:val="nil"/>
            <w:insideV w:val="single" w:sz="4" w:space="0" w:color="auto"/>
          </w:tblBorders>
        </w:tblPrEx>
        <w:tc>
          <w:tcPr>
            <w:tcW w:w="5535" w:type="dxa"/>
            <w:gridSpan w:val="2"/>
            <w:vMerge/>
            <w:tcBorders>
              <w:right w:val="nil"/>
            </w:tcBorders>
          </w:tcPr>
          <w:p w:rsidR="00C4415F" w:rsidRPr="00C4415F" w:rsidRDefault="00C4415F">
            <w:pPr>
              <w:rPr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C4415F" w:rsidRPr="00C4415F" w:rsidRDefault="00C4415F">
            <w:pPr>
              <w:pStyle w:val="ConsPlusNormal"/>
              <w:rPr>
                <w:lang w:val="en-US"/>
              </w:rPr>
            </w:pPr>
          </w:p>
        </w:tc>
        <w:tc>
          <w:tcPr>
            <w:tcW w:w="2450" w:type="dxa"/>
          </w:tcPr>
          <w:p w:rsidR="00C4415F" w:rsidRDefault="00C4415F">
            <w:pPr>
              <w:pStyle w:val="ConsPlusNormal"/>
              <w:jc w:val="center"/>
            </w:pPr>
            <w:r>
              <w:t>Соответствует</w:t>
            </w:r>
          </w:p>
          <w:p w:rsidR="00C4415F" w:rsidRDefault="00C4415F">
            <w:pPr>
              <w:pStyle w:val="ConsPlusNormal"/>
              <w:jc w:val="center"/>
            </w:pPr>
            <w:r>
              <w:t>Passed</w:t>
            </w:r>
          </w:p>
        </w:tc>
        <w:tc>
          <w:tcPr>
            <w:tcW w:w="2265" w:type="dxa"/>
          </w:tcPr>
          <w:p w:rsidR="00C4415F" w:rsidRDefault="00C4415F">
            <w:pPr>
              <w:pStyle w:val="ConsPlusNormal"/>
              <w:jc w:val="center"/>
            </w:pPr>
            <w:r>
              <w:t>Не соответствует</w:t>
            </w:r>
          </w:p>
          <w:p w:rsidR="00C4415F" w:rsidRDefault="00C4415F">
            <w:pPr>
              <w:pStyle w:val="ConsPlusNormal"/>
              <w:jc w:val="center"/>
            </w:pPr>
            <w:r>
              <w:t>Failed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H w:val="nil"/>
          </w:tblBorders>
        </w:tblPrEx>
        <w:tc>
          <w:tcPr>
            <w:tcW w:w="5535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415F" w:rsidRDefault="00C4415F"/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450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2265" w:type="dxa"/>
            <w:tcBorders>
              <w:left w:val="nil"/>
              <w:righ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5"/>
        <w:gridCol w:w="2910"/>
      </w:tblGrid>
      <w:tr w:rsidR="00C4415F">
        <w:tc>
          <w:tcPr>
            <w:tcW w:w="8355" w:type="dxa"/>
          </w:tcPr>
          <w:p w:rsidR="00C4415F" w:rsidRDefault="00C4415F">
            <w:pPr>
              <w:pStyle w:val="ConsPlusNormal"/>
              <w:jc w:val="both"/>
            </w:pPr>
            <w:r>
              <w:t>Пункты диагностической карты, требующие повторной проверки:</w:t>
            </w:r>
          </w:p>
        </w:tc>
        <w:tc>
          <w:tcPr>
            <w:tcW w:w="2910" w:type="dxa"/>
            <w:vMerge w:val="restart"/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  <w:tr w:rsidR="00C4415F">
        <w:tc>
          <w:tcPr>
            <w:tcW w:w="8355" w:type="dxa"/>
          </w:tcPr>
          <w:p w:rsidR="00C4415F" w:rsidRDefault="00C4415F">
            <w:pPr>
              <w:pStyle w:val="ConsPlusNormal"/>
            </w:pPr>
          </w:p>
        </w:tc>
        <w:tc>
          <w:tcPr>
            <w:tcW w:w="2910" w:type="dxa"/>
            <w:vMerge/>
          </w:tcPr>
          <w:p w:rsidR="00C4415F" w:rsidRDefault="00C4415F"/>
        </w:tc>
      </w:tr>
    </w:tbl>
    <w:p w:rsidR="00C4415F" w:rsidRDefault="00C441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70"/>
        <w:gridCol w:w="341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4415F">
        <w:tc>
          <w:tcPr>
            <w:tcW w:w="850" w:type="dxa"/>
            <w:tcBorders>
              <w:right w:val="nil"/>
            </w:tcBorders>
          </w:tcPr>
          <w:p w:rsidR="00C4415F" w:rsidRDefault="00C4415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  <w:tcBorders>
              <w:right w:val="nil"/>
            </w:tcBorders>
          </w:tcPr>
          <w:p w:rsidR="00C4415F" w:rsidRDefault="00C4415F">
            <w:pPr>
              <w:pStyle w:val="ConsPlusNormal"/>
            </w:pPr>
            <w:r>
              <w:t xml:space="preserve">Повторный технический осмотр провести </w:t>
            </w:r>
            <w:proofErr w:type="gramStart"/>
            <w:r>
              <w:t>до</w:t>
            </w:r>
            <w:proofErr w:type="gramEnd"/>
          </w:p>
        </w:tc>
        <w:tc>
          <w:tcPr>
            <w:tcW w:w="340" w:type="dxa"/>
            <w:tcBorders>
              <w:left w:val="nil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</w:tr>
      <w:tr w:rsidR="00C4415F">
        <w:tblPrEx>
          <w:tblBorders>
            <w:insideV w:val="nil"/>
          </w:tblBorders>
        </w:tblPrEx>
        <w:tc>
          <w:tcPr>
            <w:tcW w:w="850" w:type="dxa"/>
            <w:tcBorders>
              <w:lef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570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12" w:type="dxa"/>
          </w:tcPr>
          <w:p w:rsidR="00C4415F" w:rsidRDefault="00C4415F">
            <w:pPr>
              <w:pStyle w:val="ConsPlusNormal"/>
            </w:pPr>
          </w:p>
        </w:tc>
        <w:tc>
          <w:tcPr>
            <w:tcW w:w="3400" w:type="dxa"/>
            <w:gridSpan w:val="10"/>
            <w:tcBorders>
              <w:right w:val="single" w:sz="4" w:space="0" w:color="auto"/>
            </w:tcBorders>
          </w:tcPr>
          <w:p w:rsidR="00C4415F" w:rsidRDefault="00C4415F">
            <w:pPr>
              <w:pStyle w:val="ConsPlusNormal"/>
            </w:pPr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t>Ф.И.О. технического эксперта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r>
              <w:lastRenderedPageBreak/>
              <w:t>Signature</w:t>
            </w:r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>Печать &lt;**&gt;</w:t>
            </w:r>
          </w:p>
          <w:p w:rsidR="00C4415F" w:rsidRDefault="00C4415F">
            <w:pPr>
              <w:pStyle w:val="ConsPlusNormal"/>
              <w:jc w:val="both"/>
            </w:pPr>
            <w:r>
              <w:lastRenderedPageBreak/>
              <w:t>Stamp</w:t>
            </w:r>
          </w:p>
        </w:tc>
      </w:tr>
      <w:tr w:rsidR="00C4415F">
        <w:tc>
          <w:tcPr>
            <w:tcW w:w="11292" w:type="dxa"/>
            <w:gridSpan w:val="22"/>
          </w:tcPr>
          <w:p w:rsidR="00C4415F" w:rsidRDefault="00C4415F">
            <w:pPr>
              <w:pStyle w:val="ConsPlusNormal"/>
              <w:jc w:val="both"/>
            </w:pPr>
            <w:r>
              <w:lastRenderedPageBreak/>
              <w:t>Ф.И.О. сотрудника Госавтоинспекции</w:t>
            </w:r>
          </w:p>
        </w:tc>
      </w:tr>
      <w:tr w:rsidR="00C4415F">
        <w:tc>
          <w:tcPr>
            <w:tcW w:w="3230" w:type="dxa"/>
            <w:gridSpan w:val="8"/>
          </w:tcPr>
          <w:p w:rsidR="00C4415F" w:rsidRDefault="00C4415F">
            <w:pPr>
              <w:pStyle w:val="ConsPlusNormal"/>
              <w:jc w:val="both"/>
            </w:pPr>
            <w:r>
              <w:t>Подпись</w:t>
            </w:r>
          </w:p>
          <w:p w:rsidR="00C4415F" w:rsidRDefault="00C4415F">
            <w:pPr>
              <w:pStyle w:val="ConsPlusNormal"/>
              <w:jc w:val="both"/>
            </w:pPr>
            <w:r>
              <w:t>Signature</w:t>
            </w:r>
          </w:p>
        </w:tc>
        <w:tc>
          <w:tcPr>
            <w:tcW w:w="8062" w:type="dxa"/>
            <w:gridSpan w:val="14"/>
          </w:tcPr>
          <w:p w:rsidR="00C4415F" w:rsidRDefault="00C4415F">
            <w:pPr>
              <w:pStyle w:val="ConsPlusNormal"/>
            </w:pPr>
          </w:p>
        </w:tc>
      </w:tr>
    </w:tbl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>--------------------------------</w:t>
      </w:r>
    </w:p>
    <w:p w:rsidR="00C4415F" w:rsidRDefault="00C4415F">
      <w:pPr>
        <w:pStyle w:val="ConsPlusNormal"/>
        <w:spacing w:before="220"/>
        <w:ind w:firstLine="540"/>
        <w:jc w:val="both"/>
      </w:pPr>
      <w:proofErr w:type="gramStart"/>
      <w:r>
        <w:t>&lt;*&gt; Нумерация строк соответствует нумерации обязательных требований безопасности, предъявляемых к транспортным средствам при проведении технического осмотра отдельных категорий, указанных в приложении к Правилам проведения технического осмотра транспортных средств, утвержденными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Федерации".</w:t>
      </w:r>
      <w:proofErr w:type="gramEnd"/>
    </w:p>
    <w:p w:rsidR="00C4415F" w:rsidRDefault="00C4415F">
      <w:pPr>
        <w:pStyle w:val="ConsPlusNormal"/>
        <w:spacing w:before="220"/>
        <w:ind w:firstLine="540"/>
        <w:jc w:val="both"/>
      </w:pPr>
      <w:r>
        <w:t>&lt;**&gt; Печать оператора технического осмотра проставляется в случае выдачи диагностической карты на бумажном носителе</w:t>
      </w:r>
      <w:proofErr w:type="gramStart"/>
      <w:r>
        <w:t>.".</w:t>
      </w:r>
      <w:proofErr w:type="gramEnd"/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97" w:history="1">
        <w:r>
          <w:rPr>
            <w:color w:val="0000FF"/>
          </w:rPr>
          <w:t>пункте 2</w:t>
        </w:r>
      </w:hyperlink>
      <w:r>
        <w:t xml:space="preserve"> Положения о государственном контроле (надзоре) за организацией и проведением технического осмотра транспортных средств, утвержденного постановлением Правительства Российской Федерации от 28 мая 2020 г. N 777 "О государственном контроле (надзоре) за организацией и проведением технического осмотра транспортных средств" (Собрание законодательства Российской Федерации, 2020, N 23, ст. 3642), слова "Правил проведения технического осмотра транспортных средств, утвержденных постановлением Правительства Российской</w:t>
      </w:r>
      <w:proofErr w:type="gramEnd"/>
      <w:r>
        <w:t xml:space="preserve"> </w:t>
      </w:r>
      <w:proofErr w:type="gramStart"/>
      <w:r>
        <w:t>Федерации от 5 декабря 2011 г. N 1008 "О проведении технического осмотра транспортных средств", и порядка организации и проведения технического осмотра автобусов, устанавливаемого Правительством Российской Федерации в соответствии с частью 4 статьи 2 Федерального закона "О техническом осмотре транспортных средств и о внесении изменений в отдельные законодательные акты Российской Федерации" заменить словами "Правилами проведения технического осмотра транспортных средств, утвержденными постановлением</w:t>
      </w:r>
      <w:proofErr w:type="gramEnd"/>
      <w:r>
        <w:t xml:space="preserve"> </w:t>
      </w:r>
      <w:proofErr w:type="gramStart"/>
      <w:r>
        <w:t xml:space="preserve">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и </w:t>
      </w:r>
      <w:hyperlink r:id="rId98" w:history="1">
        <w:r>
          <w:rPr>
            <w:color w:val="0000FF"/>
          </w:rPr>
          <w:t>Правилами</w:t>
        </w:r>
      </w:hyperlink>
      <w:r>
        <w:t xml:space="preserve"> организации и проведения технического осмотра автобусов, утвержденными постановлением Правительства Российской Федерации от 23 мая 2020 г. N 741 "Об утверждении Правил организации и проведения технического осмотра автобусов".</w:t>
      </w:r>
      <w:proofErr w:type="gramEnd"/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jc w:val="both"/>
      </w:pPr>
    </w:p>
    <w:p w:rsidR="00C4415F" w:rsidRDefault="00C441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629" w:rsidRDefault="00E97629"/>
    <w:sectPr w:rsidR="00E97629" w:rsidSect="003E7AD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5F"/>
    <w:rsid w:val="00C4415F"/>
    <w:rsid w:val="00E9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41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41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41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41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2120D3359895CC8FECA13FDF04BEF3DA8058031D76DA9BD0EAF46A2F8566F683BB0EBE82B75F358733269190F4A9E3B812C560B70Dz5WCJ" TargetMode="External"/><Relationship Id="rId21" Type="http://schemas.openxmlformats.org/officeDocument/2006/relationships/hyperlink" Target="consultantplus://offline/ref=8E2120D3359895CC8FECA13FDF04BEF3DA815C051272DA9BD0EAF46A2F8566F683BB0EBA85B35C3ED5693695D9A1A7FDBB0FDB61A90D5D44zAW9J" TargetMode="External"/><Relationship Id="rId34" Type="http://schemas.openxmlformats.org/officeDocument/2006/relationships/hyperlink" Target="consultantplus://offline/ref=8E2120D3359895CC8FECA13FDF04BEF3DA8458031D70DA9BD0EAF46A2F8566F683BB0EBA85B05D3FDA693695D9A1A7FDBB0FDB61A90D5D44zAW9J" TargetMode="External"/><Relationship Id="rId42" Type="http://schemas.openxmlformats.org/officeDocument/2006/relationships/hyperlink" Target="consultantplus://offline/ref=8E2120D3359895CC8FECA13FDF04BEF3DA8458031D70DA9BD0EAF46A2F8566F683BB0EBA85B05C3FD2693695D9A1A7FDBB0FDB61A90D5D44zAW9J" TargetMode="External"/><Relationship Id="rId47" Type="http://schemas.openxmlformats.org/officeDocument/2006/relationships/hyperlink" Target="consultantplus://offline/ref=8E2120D3359895CC8FECA13FDF04BEF3DA8458031D70DA9BD0EAF46A2F8566F683BB0EBA85B05F36D6693695D9A1A7FDBB0FDB61A90D5D44zAW9J" TargetMode="External"/><Relationship Id="rId50" Type="http://schemas.openxmlformats.org/officeDocument/2006/relationships/hyperlink" Target="consultantplus://offline/ref=8E2120D3359895CC8FECA13FDF04BEF3DA8458031D70DA9BD0EAF46A2F8566F683BB0EBA85B0583AD2693695D9A1A7FDBB0FDB61A90D5D44zAW9J" TargetMode="External"/><Relationship Id="rId55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3" Type="http://schemas.openxmlformats.org/officeDocument/2006/relationships/hyperlink" Target="consultantplus://offline/ref=8E2120D3359895CC8FECA13FDF04BEF3DA8458031D70DA9BD0EAF46A2F8566F683BB0EBD87B5576A822637C99DF7B4FDBB0FD962B5z0WEJ" TargetMode="External"/><Relationship Id="rId68" Type="http://schemas.openxmlformats.org/officeDocument/2006/relationships/hyperlink" Target="consultantplus://offline/ref=8E2120D3359895CC8FECA13FDF04BEF3DA8458031D70DA9BD0EAF46A2F8566F683BB0EBA85B0593BD3693695D9A1A7FDBB0FDB61A90D5D44zAW9J" TargetMode="External"/><Relationship Id="rId76" Type="http://schemas.openxmlformats.org/officeDocument/2006/relationships/hyperlink" Target="consultantplus://offline/ref=8E2120D3359895CC8FECA13FDF04BEF3DA8458031D70DA9BD0EAF46A2F8566F683BB0EBA85B05A3DD7693695D9A1A7FDBB0FDB61A90D5D44zAW9J" TargetMode="External"/><Relationship Id="rId84" Type="http://schemas.openxmlformats.org/officeDocument/2006/relationships/hyperlink" Target="consultantplus://offline/ref=8E2120D3359895CC8FECA13FDF04BEF3DA815A031477DA9BD0EAF46A2F8566F683BB0EBA85B35C3FD3693695D9A1A7FDBB0FDB61A90D5D44zAW9J" TargetMode="External"/><Relationship Id="rId89" Type="http://schemas.openxmlformats.org/officeDocument/2006/relationships/hyperlink" Target="consultantplus://offline/ref=8E2120D3359895CC8FECA13FDF04BEF3DA815A031477DA9BD0EAF46A2F8566F683BB0EBA85B35C3FD0693695D9A1A7FDBB0FDB61A90D5D44zAW9J" TargetMode="External"/><Relationship Id="rId97" Type="http://schemas.openxmlformats.org/officeDocument/2006/relationships/hyperlink" Target="consultantplus://offline/ref=8E2120D3359895CC8FECA13FDF04BEF3DA835B061075DA9BD0EAF46A2F8566F683BB0EBA85B35C3FD6693695D9A1A7FDBB0FDB61A90D5D44zAW9J" TargetMode="External"/><Relationship Id="rId7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71" Type="http://schemas.openxmlformats.org/officeDocument/2006/relationships/hyperlink" Target="consultantplus://offline/ref=8E2120D3359895CC8FECA13FDF04BEF3DA8458031D70DA9BD0EAF46A2F8566F683BB0EBA85B0593BD6693695D9A1A7FDBB0FDB61A90D5D44zAW9J" TargetMode="External"/><Relationship Id="rId92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2120D3359895CC8FECA13FDF04BEF3DA8556001470DA9BD0EAF46A2F8566F683BB0EBA85B35D36DB693695D9A1A7FDBB0FDB61A90D5D44zAW9J" TargetMode="External"/><Relationship Id="rId29" Type="http://schemas.openxmlformats.org/officeDocument/2006/relationships/hyperlink" Target="consultantplus://offline/ref=8E2120D3359895CC8FECA13FDF04BEF3DA8458031D70DA9BD0EAF46A2F8566F683BB0EBA85B05C3FDB693695D9A1A7FDBB0FDB61A90D5D44zAW9J" TargetMode="External"/><Relationship Id="rId11" Type="http://schemas.openxmlformats.org/officeDocument/2006/relationships/hyperlink" Target="consultantplus://offline/ref=8E2120D3359895CC8FECA13FDF04BEF3DA805C061077DA9BD0EAF46A2F8566F683BB0EBA8EE70D7A866F62C783F4A9E3BA11D9z6W3J" TargetMode="External"/><Relationship Id="rId24" Type="http://schemas.openxmlformats.org/officeDocument/2006/relationships/hyperlink" Target="consultantplus://offline/ref=8E2120D3359895CC8FECA13FDF04BEF3DA8556001470DA9BD0EAF46A2F8566F683BB0EBA85B35C3ADA693695D9A1A7FDBB0FDB61A90D5D44zAW9J" TargetMode="External"/><Relationship Id="rId32" Type="http://schemas.openxmlformats.org/officeDocument/2006/relationships/hyperlink" Target="consultantplus://offline/ref=8E2120D3359895CC8FECA13FDF04BEF3DA8458031D70DA9BD0EAF46A2F8566F683BB0EBA85B05C3FD5693695D9A1A7FDBB0FDB61A90D5D44zAW9J" TargetMode="External"/><Relationship Id="rId37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0" Type="http://schemas.openxmlformats.org/officeDocument/2006/relationships/hyperlink" Target="consultantplus://offline/ref=8E2120D3359895CC8FECA13FDF04BEF3DA8458031D70DA9BD0EAF46A2F8566F683BB0EBA85B05D3BDB693695D9A1A7FDBB0FDB61A90D5D44zAW9J" TargetMode="External"/><Relationship Id="rId45" Type="http://schemas.openxmlformats.org/officeDocument/2006/relationships/hyperlink" Target="consultantplus://offline/ref=8E2120D3359895CC8FECA13FDF04BEF3DA8458031D70DA9BD0EAF46A2F8566F683BB0EBA85B05D3ADB693695D9A1A7FDBB0FDB61A90D5D44zAW9J" TargetMode="External"/><Relationship Id="rId53" Type="http://schemas.openxmlformats.org/officeDocument/2006/relationships/hyperlink" Target="consultantplus://offline/ref=8E2120D3359895CC8FECA13FDF04BEF3DA8458031D70DA9BD0EAF46A2F8566F683BB0EBA85B05839D0693695D9A1A7FDBB0FDB61A90D5D44zAW9J" TargetMode="External"/><Relationship Id="rId58" Type="http://schemas.openxmlformats.org/officeDocument/2006/relationships/hyperlink" Target="consultantplus://offline/ref=8E2120D3359895CC8FECA13FDF04BEF3DA8458031D70DA9BD0EAF46A2F8566F683BB0EBA85B0583CD2693695D9A1A7FDBB0FDB61A90D5D44zAW9J" TargetMode="External"/><Relationship Id="rId66" Type="http://schemas.openxmlformats.org/officeDocument/2006/relationships/hyperlink" Target="consultantplus://offline/ref=8E2120D3359895CC8FECA13FDF04BEF3DA8458031D70DA9BD0EAF46A2F8566F683BB0EBA85B0593AD1693695D9A1A7FDBB0FDB61A90D5D44zAW9J" TargetMode="External"/><Relationship Id="rId74" Type="http://schemas.openxmlformats.org/officeDocument/2006/relationships/hyperlink" Target="consultantplus://offline/ref=8E2120D3359895CC8FECA13FDF04BEF3DA8458031D70DA9BD0EAF46A2F8566F683BB0EBA85B05939D0693695D9A1A7FDBB0FDB61A90D5D44zAW9J" TargetMode="External"/><Relationship Id="rId79" Type="http://schemas.openxmlformats.org/officeDocument/2006/relationships/hyperlink" Target="consultantplus://offline/ref=8E2120D3359895CC8FECA13FDF04BEF3DA8458031D70DA9BD0EAF46A2F8566F683BB0EBA85B05A38D1693695D9A1A7FDBB0FDB61A90D5D44zAW9J" TargetMode="External"/><Relationship Id="rId87" Type="http://schemas.openxmlformats.org/officeDocument/2006/relationships/hyperlink" Target="consultantplus://offline/ref=8E2120D3359895CC8FECA13FDF04BEF3DA835E001C7ADA9BD0EAF46A2F8566F691BB56B685B0423ED07C60C49FzFW5J" TargetMode="External"/><Relationship Id="rId5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61" Type="http://schemas.openxmlformats.org/officeDocument/2006/relationships/hyperlink" Target="consultantplus://offline/ref=8E2120D3359895CC8FECA13FDF04BEF3DA8458031D70DA9BD0EAF46A2F8566F683BB0EBA85B0593FD6693695D9A1A7FDBB0FDB61A90D5D44zAW9J" TargetMode="External"/><Relationship Id="rId82" Type="http://schemas.openxmlformats.org/officeDocument/2006/relationships/hyperlink" Target="consultantplus://offline/ref=8E2120D3359895CC8FECA430DC04BEF3DF865E061C788791D8B3F868288A39F384AA0EBB86AD5C3DCD6062C6z9WCJ" TargetMode="External"/><Relationship Id="rId90" Type="http://schemas.openxmlformats.org/officeDocument/2006/relationships/hyperlink" Target="consultantplus://offline/ref=8E2120D3359895CC8FECA13FDF04BEF3DA8458031D70DA9BD0EAF46A2F8566F683BB0EBA85B35937DB693695D9A1A7FDBB0FDB61A90D5D44zAW9J" TargetMode="External"/><Relationship Id="rId95" Type="http://schemas.openxmlformats.org/officeDocument/2006/relationships/hyperlink" Target="consultantplus://offline/ref=8E2120D3359895CC8FECA13FDF04BEF3DA835C051D71DA9BD0EAF46A2F8566F683BB0EBA85B35C3FD0693695D9A1A7FDBB0FDB61A90D5D44zAW9J" TargetMode="External"/><Relationship Id="rId19" Type="http://schemas.openxmlformats.org/officeDocument/2006/relationships/hyperlink" Target="consultantplus://offline/ref=8E2120D3359895CC8FECA13FDF04BEF3DA8057021271DA9BD0EAF46A2F8566F683BB0EBA85B35D3CD7693695D9A1A7FDBB0FDB61A90D5D44zAW9J" TargetMode="External"/><Relationship Id="rId14" Type="http://schemas.openxmlformats.org/officeDocument/2006/relationships/hyperlink" Target="consultantplus://offline/ref=8E2120D3359895CC8FECA13FDF04BEF3D8825E011671DA9BD0EAF46A2F8566F683BB0EBA85B35C3FD3693695D9A1A7FDBB0FDB61A90D5D44zAW9J" TargetMode="External"/><Relationship Id="rId22" Type="http://schemas.openxmlformats.org/officeDocument/2006/relationships/hyperlink" Target="consultantplus://offline/ref=8E2120D3359895CC8FECA13FDF04BEF3DA80560F1372DA9BD0EAF46A2F8566F683BB0EBA85B35C3FD7693695D9A1A7FDBB0FDB61A90D5D44zAW9J" TargetMode="External"/><Relationship Id="rId27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30" Type="http://schemas.openxmlformats.org/officeDocument/2006/relationships/hyperlink" Target="consultantplus://offline/ref=8E2120D3359895CC8FECA13FDF04BEF3DA8458031D70DA9BD0EAF46A2F8566F683BB0EBA85B05C39D0693695D9A1A7FDBB0FDB61A90D5D44zAW9J" TargetMode="External"/><Relationship Id="rId35" Type="http://schemas.openxmlformats.org/officeDocument/2006/relationships/hyperlink" Target="consultantplus://offline/ref=8E2120D3359895CC8FECA13FDF04BEF3DA8458031D70DA9BD0EAF46A2F8566F683BB0EBA85B05D3AD1693695D9A1A7FDBB0FDB61A90D5D44zAW9J" TargetMode="External"/><Relationship Id="rId43" Type="http://schemas.openxmlformats.org/officeDocument/2006/relationships/hyperlink" Target="consultantplus://offline/ref=8E2120D3359895CC8FECA13FDF04BEF3DA8458031D70DA9BD0EAF46A2F8566F683BB0EBA85B05D3AD6693695D9A1A7FDBB0FDB61A90D5D44zAW9J" TargetMode="External"/><Relationship Id="rId48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6" Type="http://schemas.openxmlformats.org/officeDocument/2006/relationships/hyperlink" Target="consultantplus://offline/ref=8E2120D3359895CC8FECA13FDF04BEF3DA8458031D70DA9BD0EAF46A2F8566F683BB0EBF8CB6576A822637C99DF7B4FDBB0FD962B5z0WEJ" TargetMode="External"/><Relationship Id="rId64" Type="http://schemas.openxmlformats.org/officeDocument/2006/relationships/hyperlink" Target="consultantplus://offline/ref=8E2120D3359895CC8FECA13FDF04BEF3DA8458031D70DA9BD0EAF46A2F8566F683BB0EBA85B35838DB693695D9A1A7FDBB0FDB61A90D5D44zAW9J" TargetMode="External"/><Relationship Id="rId69" Type="http://schemas.openxmlformats.org/officeDocument/2006/relationships/hyperlink" Target="consultantplus://offline/ref=8E2120D3359895CC8FECA13FDF04BEF3DA8458031D70DA9BD0EAF46A2F8566F683BB0EBA85B0593BD1693695D9A1A7FDBB0FDB61A90D5D44zAW9J" TargetMode="External"/><Relationship Id="rId77" Type="http://schemas.openxmlformats.org/officeDocument/2006/relationships/hyperlink" Target="consultantplus://offline/ref=8E2120D3359895CC8FECA13FDF04BEF3DA8458031D70DA9BD0EAF46A2F8566F683BB0EBA85B05A3AD3693695D9A1A7FDBB0FDB61A90D5D44zAW9J" TargetMode="External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8E2120D3359895CC8FECA13FDF04BEF3DA8256041572DA9BD0EAF46A2F8566F691BB56B685B0423ED07C60C49FzFW5J" TargetMode="External"/><Relationship Id="rId51" Type="http://schemas.openxmlformats.org/officeDocument/2006/relationships/hyperlink" Target="consultantplus://offline/ref=8E2120D3359895CC8FECA13FDF04BEF3DA8458031D70DA9BD0EAF46A2F8566F683BB0EBA85B0583BD3693695D9A1A7FDBB0FDB61A90D5D44zAW9J" TargetMode="External"/><Relationship Id="rId72" Type="http://schemas.openxmlformats.org/officeDocument/2006/relationships/hyperlink" Target="consultantplus://offline/ref=8E2120D3359895CC8FECA13FDF04BEF3DA8458031D70DA9BD0EAF46A2F8566F683BB0EBA85B05938D7693695D9A1A7FDBB0FDB61A90D5D44zAW9J" TargetMode="External"/><Relationship Id="rId80" Type="http://schemas.openxmlformats.org/officeDocument/2006/relationships/hyperlink" Target="consultantplus://offline/ref=8E2120D3359895CC8FECA13FDF04BEF3DA8458031D70DA9BD0EAF46A2F8566F683BB0EBA85B05A38DA693695D9A1A7FDBB0FDB61A90D5D44zAW9J" TargetMode="External"/><Relationship Id="rId85" Type="http://schemas.openxmlformats.org/officeDocument/2006/relationships/hyperlink" Target="consultantplus://offline/ref=8E2120D3359895CC8FECA13FDF04BEF3DA8458031D70DA9BD0EAF46A2F8566F683BB0EBA85B35A3ED7693695D9A1A7FDBB0FDB61A90D5D44zAW9J" TargetMode="External"/><Relationship Id="rId93" Type="http://schemas.openxmlformats.org/officeDocument/2006/relationships/hyperlink" Target="consultantplus://offline/ref=8E2120D3359895CC8FECA13FDF04BEF3D8835B021074DA9BD0EAF46A2F8566F683BB0EBA85B35C3ED6693695D9A1A7FDBB0FDB61A90D5D44zAW9J" TargetMode="External"/><Relationship Id="rId98" Type="http://schemas.openxmlformats.org/officeDocument/2006/relationships/hyperlink" Target="consultantplus://offline/ref=8E2120D3359895CC8FECA13FDF04BEF3DA805C061075DA9BD0EAF46A2F8566F683BB0EBA85B35C3EDA693695D9A1A7FDBB0FDB61A90D5D44zAW9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2120D3359895CC8FECA430DC04BEF3DF865E061C788791D8B3F868288A39F384AA0EBB86AD5C3DCD6062C6z9WCJ" TargetMode="External"/><Relationship Id="rId17" Type="http://schemas.openxmlformats.org/officeDocument/2006/relationships/hyperlink" Target="consultantplus://offline/ref=8E2120D3359895CC8FECA13FDF04BEF3D88557011477DA9BD0EAF46A2F8566F683BB0EBA85B35C3FD3693695D9A1A7FDBB0FDB61A90D5D44zAW9J" TargetMode="External"/><Relationship Id="rId25" Type="http://schemas.openxmlformats.org/officeDocument/2006/relationships/hyperlink" Target="consultantplus://offline/ref=8E2120D3359895CC8FECA13FDF04BEF3DA8556001470DA9BD0EAF46A2F8566F683BB0EBA81B7576A822637C99DF7B4FDBB0FD962B5z0WEJ" TargetMode="External"/><Relationship Id="rId33" Type="http://schemas.openxmlformats.org/officeDocument/2006/relationships/hyperlink" Target="consultantplus://offline/ref=8E2120D3359895CC8FECA13FDF04BEF3DA8458031D70DA9BD0EAF46A2F8566F683BB0EBA85B05D3FD2693695D9A1A7FDBB0FDB61A90D5D44zAW9J" TargetMode="External"/><Relationship Id="rId38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46" Type="http://schemas.openxmlformats.org/officeDocument/2006/relationships/hyperlink" Target="consultantplus://offline/ref=8E2120D3359895CC8FECA13FDF04BEF3DA8458031D70DA9BD0EAF46A2F8566F683BB0EBA85B05F36D7693695D9A1A7FDBB0FDB61A90D5D44zAW9J" TargetMode="External"/><Relationship Id="rId59" Type="http://schemas.openxmlformats.org/officeDocument/2006/relationships/hyperlink" Target="consultantplus://offline/ref=8E2120D3359895CC8FECA13FDF04BEF3DA8458031D70DA9BD0EAF46A2F8566F683BB0EBE86BB576A822637C99DF7B4FDBB0FD962B5z0WEJ" TargetMode="External"/><Relationship Id="rId67" Type="http://schemas.openxmlformats.org/officeDocument/2006/relationships/hyperlink" Target="consultantplus://offline/ref=8E2120D3359895CC8FECA13FDF04BEF3DA8458031D70DA9BD0EAF46A2F8566F683BB0EBA85B0593AD4693695D9A1A7FDBB0FDB61A90D5D44zAW9J" TargetMode="External"/><Relationship Id="rId20" Type="http://schemas.openxmlformats.org/officeDocument/2006/relationships/hyperlink" Target="consultantplus://offline/ref=8E2120D3359895CC8FECA13FDF04BEF3DA835902167ADA9BD0EAF46A2F8566F683BB0EBA85B35C3FD2693695D9A1A7FDBB0FDB61A90D5D44zAW9J" TargetMode="External"/><Relationship Id="rId41" Type="http://schemas.openxmlformats.org/officeDocument/2006/relationships/hyperlink" Target="consultantplus://offline/ref=8E2120D3359895CC8FECA13FDF04BEF3DA8458031D70DA9BD0EAF46A2F8566F683BB0EBF82B6576A822637C99DF7B4FDBB0FD962B5z0WEJ" TargetMode="External"/><Relationship Id="rId54" Type="http://schemas.openxmlformats.org/officeDocument/2006/relationships/hyperlink" Target="consultantplus://offline/ref=8E2120D3359895CC8FECA13FDF04BEF3DA8458031D70DA9BD0EAF46A2F8566F683BB0EBA85B05E3CD0693695D9A1A7FDBB0FDB61A90D5D44zAW9J" TargetMode="External"/><Relationship Id="rId62" Type="http://schemas.openxmlformats.org/officeDocument/2006/relationships/hyperlink" Target="consultantplus://offline/ref=8E2120D3359895CC8FECA13FDF04BEF3DA8458031D70DA9BD0EAF46A2F8566F683BB0EBA85B25539D0693695D9A1A7FDBB0FDB61A90D5D44zAW9J" TargetMode="External"/><Relationship Id="rId70" Type="http://schemas.openxmlformats.org/officeDocument/2006/relationships/hyperlink" Target="consultantplus://offline/ref=8E2120D3359895CC8FECA13FDF04BEF3DA8458031D70DA9BD0EAF46A2F8566F683BB0EBA85B0593BD7693695D9A1A7FDBB0FDB61A90D5D44zAW9J" TargetMode="External"/><Relationship Id="rId75" Type="http://schemas.openxmlformats.org/officeDocument/2006/relationships/hyperlink" Target="consultantplus://offline/ref=8E2120D3359895CC8FECA13FDF04BEF3DA8458031D70DA9BD0EAF46A2F8566F683BB0EBA85B05939D5693695D9A1A7FDBB0FDB61A90D5D44zAW9J" TargetMode="External"/><Relationship Id="rId83" Type="http://schemas.openxmlformats.org/officeDocument/2006/relationships/hyperlink" Target="consultantplus://offline/ref=8E2120D3359895CC8FECA430DC04BEF3DF865E061C788791D8B3F868288A39F384AA0EBB86AD5C3DCD6062C6z9WCJ" TargetMode="External"/><Relationship Id="rId88" Type="http://schemas.openxmlformats.org/officeDocument/2006/relationships/hyperlink" Target="consultantplus://offline/ref=8E2120D3359895CC8FECA430DC04BEF3DF865E061C788791D8B3F868288A39F384AA0EBB86AD5C3DCD6062C6z9WCJ" TargetMode="External"/><Relationship Id="rId91" Type="http://schemas.openxmlformats.org/officeDocument/2006/relationships/hyperlink" Target="consultantplus://offline/ref=8E2120D3359895CC8FECA13FDF04BEF3DA815C001274DA9BD0EAF46A2F8566F683BB0EBA85B35E38D0693695D9A1A7FDBB0FDB61A90D5D44zAW9J" TargetMode="External"/><Relationship Id="rId96" Type="http://schemas.openxmlformats.org/officeDocument/2006/relationships/hyperlink" Target="consultantplus://offline/ref=8E2120D3359895CC8FECA13FDF04BEF3DA835C051D71DA9BD0EAF46A2F8566F683BB0EBA85B35C3CDA693695D9A1A7FDBB0FDB61A90D5D44zAW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15" Type="http://schemas.openxmlformats.org/officeDocument/2006/relationships/hyperlink" Target="consultantplus://offline/ref=8E2120D3359895CC8FECA13FDF04BEF3DA8556001470DA9BD0EAF46A2F8566F691BB56B685B0423ED07C60C49FzFW5J" TargetMode="External"/><Relationship Id="rId23" Type="http://schemas.openxmlformats.org/officeDocument/2006/relationships/hyperlink" Target="consultantplus://offline/ref=8E2120D3359895CC8FECA13FDF04BEF3DA8556001470DA9BD0EAF46A2F8566F683BB0EBA85B35D37DA693695D9A1A7FDBB0FDB61A90D5D44zAW9J" TargetMode="External"/><Relationship Id="rId28" Type="http://schemas.openxmlformats.org/officeDocument/2006/relationships/hyperlink" Target="consultantplus://offline/ref=8E2120D3359895CC8FECA13FDF04BEF3DA8458031D70DA9BD0EAF46A2F8566F683BB0EBA85B05C3FD7693695D9A1A7FDBB0FDB61A90D5D44zAW9J" TargetMode="External"/><Relationship Id="rId36" Type="http://schemas.openxmlformats.org/officeDocument/2006/relationships/hyperlink" Target="consultantplus://offline/ref=8E2120D3359895CC8FECA13FDF04BEF3DA8458031D70DA9BD0EAF46A2F8566F683BB0EBA85B05D3CD7693695D9A1A7FDBB0FDB61A90D5D44zAW9J" TargetMode="External"/><Relationship Id="rId49" Type="http://schemas.openxmlformats.org/officeDocument/2006/relationships/hyperlink" Target="consultantplus://offline/ref=8E2120D3359895CC8FECA13FDF04BEF3DA8458031D70DA9BD0EAF46A2F8566F683BB0EBA85B05F37D0693695D9A1A7FDBB0FDB61A90D5D44zAW9J" TargetMode="External"/><Relationship Id="rId57" Type="http://schemas.openxmlformats.org/officeDocument/2006/relationships/hyperlink" Target="consultantplus://offline/ref=8E2120D3359895CC8FECA13FDF04BEF3DA8458031D70DA9BD0EAF46A2F8566F683BB0EBA85B0583DDB693695D9A1A7FDBB0FDB61A90D5D44zAW9J" TargetMode="External"/><Relationship Id="rId10" Type="http://schemas.openxmlformats.org/officeDocument/2006/relationships/hyperlink" Target="consultantplus://offline/ref=8E2120D3359895CC8FECA13FDF04BEF3DA815A031477DA9BD0EAF46A2F8566F683BB0EBA85B35C3ED6693695D9A1A7FDBB0FDB61A90D5D44zAW9J" TargetMode="External"/><Relationship Id="rId31" Type="http://schemas.openxmlformats.org/officeDocument/2006/relationships/hyperlink" Target="consultantplus://offline/ref=8E2120D3359895CC8FECA13FDF04BEF3DA8458031D70DA9BD0EAF46A2F8566F683BB0EBF80B3576A822637C99DF7B4FDBB0FD962B5z0WEJ" TargetMode="External"/><Relationship Id="rId44" Type="http://schemas.openxmlformats.org/officeDocument/2006/relationships/hyperlink" Target="consultantplus://offline/ref=8E2120D3359895CC8FECA13FDF04BEF3DA8458031D70DA9BD0EAF46A2F8566F683BB0EBA85B05D3AD4693695D9A1A7FDBB0FDB61A90D5D44zAW9J" TargetMode="External"/><Relationship Id="rId52" Type="http://schemas.openxmlformats.org/officeDocument/2006/relationships/hyperlink" Target="consultantplus://offline/ref=8E2120D3359895CC8FECA13FDF04BEF3DA8458031D70DA9BD0EAF46A2F8566F683BB0EBA85B05838D2693695D9A1A7FDBB0FDB61A90D5D44zAW9J" TargetMode="External"/><Relationship Id="rId60" Type="http://schemas.openxmlformats.org/officeDocument/2006/relationships/hyperlink" Target="consultantplus://offline/ref=8E2120D3359895CC8FECA13FDF04BEF3DA8458031D70DA9BD0EAF46A2F8566F683BB0EBA85B0593FD0693695D9A1A7FDBB0FDB61A90D5D44zAW9J" TargetMode="External"/><Relationship Id="rId65" Type="http://schemas.openxmlformats.org/officeDocument/2006/relationships/hyperlink" Target="consultantplus://offline/ref=8E2120D3359895CC8FECA13FDF04BEF3DA8458031D70DA9BD0EAF46A2F8566F683BB0EBA85B0593DD3693695D9A1A7FDBB0FDB61A90D5D44zAW9J" TargetMode="External"/><Relationship Id="rId73" Type="http://schemas.openxmlformats.org/officeDocument/2006/relationships/hyperlink" Target="consultantplus://offline/ref=8E2120D3359895CC8FECA13FDF04BEF3DA8458031D70DA9BD0EAF46A2F8566F683BB0EBA85B05938DA693695D9A1A7FDBB0FDB61A90D5D44zAW9J" TargetMode="External"/><Relationship Id="rId78" Type="http://schemas.openxmlformats.org/officeDocument/2006/relationships/hyperlink" Target="consultantplus://offline/ref=8E2120D3359895CC8FECA13FDF04BEF3DA8458031D70DA9BD0EAF46A2F8566F683BB0EBA85B05A3BD6693695D9A1A7FDBB0FDB61A90D5D44zAW9J" TargetMode="External"/><Relationship Id="rId81" Type="http://schemas.openxmlformats.org/officeDocument/2006/relationships/hyperlink" Target="consultantplus://offline/ref=8E2120D3359895CC8FECA13FDF04BEF3DA8458031D70DA9BD0EAF46A2F8566F683BB0EBA85B05A39D6693695D9A1A7FDBB0FDB61A90D5D44zAW9J" TargetMode="External"/><Relationship Id="rId86" Type="http://schemas.openxmlformats.org/officeDocument/2006/relationships/hyperlink" Target="consultantplus://offline/ref=8E2120D3359895CC8FECA13FDF04BEF3DA8458031D70DA9BD0EAF46A2F8566F683BB0EBA85B35C3DD6693695D9A1A7FDBB0FDB61A90D5D44zAW9J" TargetMode="External"/><Relationship Id="rId94" Type="http://schemas.openxmlformats.org/officeDocument/2006/relationships/hyperlink" Target="consultantplus://offline/ref=8E2120D3359895CC8FECA13FDF04BEF3DA835C051D71DA9BD0EAF46A2F8566F683BB0EBA85B35C3EDA693695D9A1A7FDBB0FDB61A90D5D44zAW9J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2120D3359895CC8FECA13FDF04BEF3DA8256041572DA9BD0EAF46A2F8566F683BB0EBA85B35E38D3693695D9A1A7FDBB0FDB61A90D5D44zAW9J" TargetMode="External"/><Relationship Id="rId13" Type="http://schemas.openxmlformats.org/officeDocument/2006/relationships/hyperlink" Target="consultantplus://offline/ref=8E2120D3359895CC8FECA13FDF04BEF3DA835C071275DA9BD0EAF46A2F8566F683BB0EBA85B35C3ED5693695D9A1A7FDBB0FDB61A90D5D44zAW9J" TargetMode="External"/><Relationship Id="rId18" Type="http://schemas.openxmlformats.org/officeDocument/2006/relationships/hyperlink" Target="consultantplus://offline/ref=8E2120D3359895CC8FECA13FDF04BEF3D88256041177DA9BD0EAF46A2F8566F691BB56B685B0423ED07C60C49FzFW5J" TargetMode="External"/><Relationship Id="rId39" Type="http://schemas.openxmlformats.org/officeDocument/2006/relationships/hyperlink" Target="consultantplus://offline/ref=8E2120D3359895CC8FECA13FDF04BEF3DA8458031D70DA9BD0EAF46A2F8566F683BB0EBE80B0576A822637C99DF7B4FDBB0FD962B5z0W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12355</Words>
  <Characters>70426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2021-03-03T09:22:00Z</dcterms:created>
  <dcterms:modified xsi:type="dcterms:W3CDTF">2021-03-03T09:23:00Z</dcterms:modified>
</cp:coreProperties>
</file>